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89BEF">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w:t>
      </w:r>
    </w:p>
    <w:tbl>
      <w:tblPr>
        <w:tblStyle w:val="26"/>
        <w:tblW w:w="11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34"/>
        <w:gridCol w:w="556"/>
        <w:gridCol w:w="5670"/>
        <w:gridCol w:w="2846"/>
      </w:tblGrid>
      <w:tr w14:paraId="4B88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140" w:type="dxa"/>
            <w:shd w:val="clear" w:color="000000" w:fill="auto"/>
            <w:noWrap/>
            <w:vAlign w:val="center"/>
          </w:tcPr>
          <w:p w14:paraId="106E0C40">
            <w:pPr>
              <w:jc w:val="center"/>
              <w:rPr>
                <w:rFonts w:hint="eastAsia" w:ascii="仿宋" w:hAnsi="仿宋" w:eastAsia="仿宋" w:cs="仿宋"/>
                <w:b/>
                <w:bCs/>
                <w:sz w:val="20"/>
              </w:rPr>
            </w:pPr>
            <w:r>
              <w:rPr>
                <w:rFonts w:hint="eastAsia" w:ascii="仿宋" w:hAnsi="仿宋" w:eastAsia="仿宋" w:cs="仿宋"/>
                <w:b/>
                <w:bCs/>
                <w:sz w:val="20"/>
              </w:rPr>
              <w:t>评分项</w:t>
            </w:r>
          </w:p>
        </w:tc>
        <w:tc>
          <w:tcPr>
            <w:tcW w:w="1134" w:type="dxa"/>
            <w:shd w:val="clear" w:color="000000" w:fill="auto"/>
            <w:noWrap/>
            <w:vAlign w:val="center"/>
          </w:tcPr>
          <w:p w14:paraId="737668FC">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6" w:type="dxa"/>
            <w:shd w:val="clear" w:color="000000" w:fill="auto"/>
            <w:noWrap/>
            <w:vAlign w:val="center"/>
          </w:tcPr>
          <w:p w14:paraId="6B4B216C">
            <w:pPr>
              <w:jc w:val="center"/>
              <w:rPr>
                <w:rFonts w:hint="eastAsia" w:ascii="仿宋" w:hAnsi="仿宋" w:eastAsia="仿宋" w:cs="仿宋"/>
                <w:b/>
                <w:bCs/>
                <w:sz w:val="20"/>
              </w:rPr>
            </w:pPr>
            <w:r>
              <w:rPr>
                <w:rFonts w:hint="eastAsia" w:ascii="仿宋" w:hAnsi="仿宋" w:eastAsia="仿宋" w:cs="仿宋"/>
                <w:b/>
                <w:bCs/>
                <w:sz w:val="20"/>
              </w:rPr>
              <w:t>分值</w:t>
            </w:r>
          </w:p>
        </w:tc>
        <w:tc>
          <w:tcPr>
            <w:tcW w:w="5670" w:type="dxa"/>
            <w:shd w:val="clear" w:color="000000" w:fill="auto"/>
            <w:noWrap/>
            <w:vAlign w:val="center"/>
          </w:tcPr>
          <w:p w14:paraId="13FB85FE">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846" w:type="dxa"/>
            <w:shd w:val="clear" w:color="000000" w:fill="auto"/>
            <w:noWrap/>
            <w:vAlign w:val="center"/>
          </w:tcPr>
          <w:p w14:paraId="26BB0587">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031E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140" w:type="dxa"/>
            <w:shd w:val="clear" w:color="auto" w:fill="auto"/>
            <w:noWrap/>
            <w:vAlign w:val="center"/>
          </w:tcPr>
          <w:p w14:paraId="004B5E21">
            <w:pPr>
              <w:widowControl/>
              <w:jc w:val="center"/>
              <w:textAlignment w:val="center"/>
              <w:rPr>
                <w:rFonts w:hint="eastAsia" w:ascii="仿宋" w:hAnsi="仿宋" w:eastAsia="仿宋" w:cs="仿宋"/>
                <w:b/>
                <w:bCs/>
                <w:sz w:val="20"/>
              </w:rPr>
            </w:pPr>
            <w:r>
              <w:rPr>
                <w:rFonts w:hint="eastAsia" w:ascii="仿宋" w:hAnsi="仿宋" w:eastAsia="仿宋" w:cs="仿宋"/>
                <w:b/>
                <w:bCs/>
                <w:sz w:val="20"/>
              </w:rPr>
              <w:t>项目目标的理解</w:t>
            </w:r>
          </w:p>
        </w:tc>
        <w:tc>
          <w:tcPr>
            <w:tcW w:w="1134" w:type="dxa"/>
            <w:noWrap/>
            <w:vAlign w:val="center"/>
          </w:tcPr>
          <w:p w14:paraId="03DA8B42">
            <w:pPr>
              <w:widowControl/>
              <w:jc w:val="center"/>
              <w:textAlignment w:val="center"/>
              <w:rPr>
                <w:rFonts w:hint="eastAsia" w:ascii="仿宋" w:hAnsi="仿宋" w:eastAsia="仿宋" w:cs="仿宋"/>
                <w:b/>
                <w:bCs/>
                <w:sz w:val="20"/>
              </w:rPr>
            </w:pPr>
            <w:r>
              <w:rPr>
                <w:rFonts w:hint="eastAsia" w:ascii="仿宋" w:hAnsi="仿宋" w:eastAsia="仿宋" w:cs="仿宋"/>
                <w:b/>
                <w:bCs/>
                <w:sz w:val="20"/>
              </w:rPr>
              <w:t>项目目标的理解</w:t>
            </w:r>
          </w:p>
        </w:tc>
        <w:tc>
          <w:tcPr>
            <w:tcW w:w="556" w:type="dxa"/>
            <w:noWrap/>
            <w:vAlign w:val="center"/>
          </w:tcPr>
          <w:p w14:paraId="2369F770">
            <w:pPr>
              <w:widowControl/>
              <w:jc w:val="center"/>
              <w:textAlignment w:val="center"/>
              <w:rPr>
                <w:rFonts w:hint="eastAsia" w:ascii="仿宋" w:hAnsi="仿宋" w:eastAsia="仿宋" w:cs="仿宋"/>
                <w:sz w:val="20"/>
              </w:rPr>
            </w:pPr>
            <w:r>
              <w:rPr>
                <w:rFonts w:hint="eastAsia" w:ascii="仿宋" w:hAnsi="仿宋" w:eastAsia="仿宋" w:cs="仿宋"/>
                <w:sz w:val="20"/>
              </w:rPr>
              <w:t>8</w:t>
            </w:r>
          </w:p>
        </w:tc>
        <w:tc>
          <w:tcPr>
            <w:tcW w:w="5670" w:type="dxa"/>
            <w:vAlign w:val="center"/>
          </w:tcPr>
          <w:p w14:paraId="5F00B10A">
            <w:pPr>
              <w:widowControl/>
              <w:jc w:val="left"/>
              <w:textAlignment w:val="center"/>
              <w:rPr>
                <w:rFonts w:hint="eastAsia" w:ascii="仿宋" w:hAnsi="仿宋" w:eastAsia="仿宋" w:cs="仿宋"/>
                <w:sz w:val="20"/>
              </w:rPr>
            </w:pPr>
            <w:r>
              <w:rPr>
                <w:rFonts w:hint="eastAsia" w:ascii="仿宋" w:hAnsi="仿宋" w:eastAsia="仿宋" w:cs="仿宋"/>
                <w:sz w:val="20"/>
              </w:rPr>
              <w:t>能很好地理解本项目的最终目标得(6,8]分；理解基本符合，得(3,6]分；理解不全面[0,3]分。</w:t>
            </w:r>
          </w:p>
        </w:tc>
        <w:tc>
          <w:tcPr>
            <w:tcW w:w="2846" w:type="dxa"/>
            <w:noWrap/>
            <w:vAlign w:val="center"/>
          </w:tcPr>
          <w:p w14:paraId="17F7CB26">
            <w:pPr>
              <w:rPr>
                <w:rFonts w:hint="eastAsia" w:ascii="仿宋" w:hAnsi="仿宋" w:eastAsia="仿宋" w:cs="仿宋"/>
                <w:sz w:val="20"/>
              </w:rPr>
            </w:pPr>
          </w:p>
        </w:tc>
      </w:tr>
      <w:tr w14:paraId="6056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140" w:type="dxa"/>
            <w:shd w:val="clear" w:color="auto" w:fill="auto"/>
            <w:noWrap/>
            <w:vAlign w:val="center"/>
          </w:tcPr>
          <w:p w14:paraId="0915D5E6">
            <w:pPr>
              <w:jc w:val="center"/>
              <w:rPr>
                <w:rFonts w:hint="eastAsia" w:ascii="仿宋" w:hAnsi="仿宋" w:eastAsia="仿宋" w:cs="仿宋"/>
                <w:b/>
                <w:bCs/>
                <w:kern w:val="0"/>
                <w:sz w:val="20"/>
              </w:rPr>
            </w:pPr>
            <w:r>
              <w:rPr>
                <w:rFonts w:hint="eastAsia" w:ascii="仿宋" w:hAnsi="仿宋" w:eastAsia="仿宋" w:cs="仿宋"/>
                <w:b/>
                <w:bCs/>
                <w:kern w:val="0"/>
                <w:sz w:val="20"/>
              </w:rPr>
              <w:t>质量控制能力</w:t>
            </w:r>
          </w:p>
        </w:tc>
        <w:tc>
          <w:tcPr>
            <w:tcW w:w="1134" w:type="dxa"/>
            <w:noWrap/>
            <w:vAlign w:val="center"/>
          </w:tcPr>
          <w:p w14:paraId="5710A390">
            <w:pPr>
              <w:widowControl/>
              <w:jc w:val="center"/>
              <w:textAlignment w:val="center"/>
              <w:rPr>
                <w:rFonts w:hint="eastAsia" w:ascii="仿宋" w:hAnsi="仿宋" w:eastAsia="仿宋" w:cs="仿宋"/>
                <w:b/>
                <w:bCs/>
                <w:sz w:val="20"/>
              </w:rPr>
            </w:pPr>
            <w:r>
              <w:rPr>
                <w:rFonts w:hint="eastAsia" w:ascii="仿宋" w:hAnsi="仿宋" w:eastAsia="仿宋" w:cs="仿宋"/>
                <w:b/>
                <w:bCs/>
                <w:sz w:val="20"/>
              </w:rPr>
              <w:t>质量控制能力</w:t>
            </w:r>
          </w:p>
        </w:tc>
        <w:tc>
          <w:tcPr>
            <w:tcW w:w="556" w:type="dxa"/>
            <w:noWrap/>
            <w:vAlign w:val="center"/>
          </w:tcPr>
          <w:p w14:paraId="7EB0654B">
            <w:pPr>
              <w:widowControl/>
              <w:jc w:val="center"/>
              <w:textAlignment w:val="center"/>
              <w:rPr>
                <w:rFonts w:hint="eastAsia" w:ascii="仿宋" w:hAnsi="仿宋" w:eastAsia="仿宋" w:cs="仿宋"/>
                <w:sz w:val="20"/>
              </w:rPr>
            </w:pPr>
            <w:r>
              <w:rPr>
                <w:rFonts w:hint="eastAsia" w:ascii="仿宋" w:hAnsi="仿宋" w:eastAsia="仿宋" w:cs="仿宋"/>
                <w:sz w:val="20"/>
              </w:rPr>
              <w:t>8</w:t>
            </w:r>
          </w:p>
        </w:tc>
        <w:tc>
          <w:tcPr>
            <w:tcW w:w="5670" w:type="dxa"/>
            <w:vAlign w:val="center"/>
          </w:tcPr>
          <w:p w14:paraId="7A2C9BAF">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团队架构中设有质量监督岗位（可兼任），有详细可执行的质量监管流程及处理措施、应急预案的，得(6,8]分；有基本可执行的质量监管流程的，得(3,6]分；质量监管流程有缺漏、流程操作性差，得[0,3]分。</w:t>
            </w:r>
          </w:p>
        </w:tc>
        <w:tc>
          <w:tcPr>
            <w:tcW w:w="2846" w:type="dxa"/>
            <w:noWrap/>
            <w:vAlign w:val="center"/>
          </w:tcPr>
          <w:p w14:paraId="5DC27080">
            <w:pPr>
              <w:rPr>
                <w:rFonts w:hint="eastAsia" w:ascii="仿宋" w:hAnsi="仿宋" w:eastAsia="仿宋" w:cs="仿宋"/>
                <w:sz w:val="20"/>
              </w:rPr>
            </w:pPr>
          </w:p>
        </w:tc>
      </w:tr>
      <w:tr w14:paraId="3D97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140" w:type="dxa"/>
            <w:noWrap/>
            <w:vAlign w:val="center"/>
          </w:tcPr>
          <w:p w14:paraId="0D74D403">
            <w:pPr>
              <w:jc w:val="center"/>
              <w:rPr>
                <w:rFonts w:hint="eastAsia" w:ascii="仿宋" w:hAnsi="仿宋" w:eastAsia="仿宋" w:cs="仿宋"/>
                <w:b/>
                <w:bCs/>
                <w:kern w:val="0"/>
                <w:sz w:val="20"/>
              </w:rPr>
            </w:pPr>
            <w:r>
              <w:rPr>
                <w:rFonts w:hint="eastAsia" w:ascii="仿宋" w:hAnsi="仿宋" w:eastAsia="仿宋" w:cs="仿宋"/>
                <w:b/>
                <w:bCs/>
                <w:kern w:val="0"/>
                <w:sz w:val="20"/>
              </w:rPr>
              <w:t>人员配置</w:t>
            </w:r>
          </w:p>
        </w:tc>
        <w:tc>
          <w:tcPr>
            <w:tcW w:w="1134" w:type="dxa"/>
            <w:noWrap/>
            <w:vAlign w:val="center"/>
          </w:tcPr>
          <w:p w14:paraId="620B2994">
            <w:pPr>
              <w:jc w:val="center"/>
              <w:rPr>
                <w:rFonts w:hint="eastAsia" w:ascii="仿宋" w:hAnsi="仿宋" w:eastAsia="仿宋" w:cs="仿宋"/>
                <w:sz w:val="20"/>
              </w:rPr>
            </w:pPr>
            <w:r>
              <w:rPr>
                <w:rFonts w:hint="eastAsia" w:ascii="仿宋" w:hAnsi="仿宋" w:eastAsia="仿宋" w:cs="仿宋"/>
                <w:b/>
                <w:bCs/>
                <w:kern w:val="0"/>
                <w:sz w:val="20"/>
              </w:rPr>
              <w:t>人员配置</w:t>
            </w:r>
          </w:p>
        </w:tc>
        <w:tc>
          <w:tcPr>
            <w:tcW w:w="556" w:type="dxa"/>
            <w:noWrap/>
            <w:vAlign w:val="center"/>
          </w:tcPr>
          <w:p w14:paraId="088DC8E8">
            <w:pPr>
              <w:widowControl/>
              <w:jc w:val="center"/>
              <w:textAlignment w:val="center"/>
              <w:rPr>
                <w:rFonts w:hint="default" w:ascii="仿宋" w:hAnsi="仿宋" w:eastAsia="仿宋" w:cs="仿宋"/>
                <w:sz w:val="20"/>
                <w:lang w:val="en-US" w:eastAsia="zh-CN"/>
              </w:rPr>
            </w:pPr>
            <w:r>
              <w:rPr>
                <w:rFonts w:hint="eastAsia" w:ascii="仿宋" w:hAnsi="仿宋" w:eastAsia="仿宋" w:cs="仿宋"/>
                <w:sz w:val="20"/>
                <w:lang w:val="en-US" w:eastAsia="zh-CN"/>
              </w:rPr>
              <w:t>20</w:t>
            </w:r>
          </w:p>
        </w:tc>
        <w:tc>
          <w:tcPr>
            <w:tcW w:w="5670" w:type="dxa"/>
            <w:vAlign w:val="center"/>
          </w:tcPr>
          <w:p w14:paraId="240486D1">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应答人需为本项目配备项目团队：</w:t>
            </w:r>
          </w:p>
          <w:p w14:paraId="0DF8DB4C">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1.项目经理：需配备专职项目经理1人，针对以下内容进行评审，每满足1项，得3分，最高得12分。</w:t>
            </w:r>
          </w:p>
          <w:p w14:paraId="4C9962CF">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（1）具备信息类或通信类或网络工程或计算机科学与技术或计算机软件等相关专业本科及以上学历；</w:t>
            </w:r>
          </w:p>
          <w:p w14:paraId="2E4363EC">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（2）3年及以上工作经验；</w:t>
            </w:r>
          </w:p>
          <w:p w14:paraId="555D468E">
            <w:pPr>
              <w:widowControl/>
              <w:tabs>
                <w:tab w:val="right" w:pos="5454"/>
              </w:tabs>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（3）至少1个项目管理经验；</w:t>
            </w:r>
          </w:p>
          <w:p w14:paraId="4FC178AB">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（4）具备人社部颁布的高级项目经理职称或PMP认证。</w:t>
            </w:r>
          </w:p>
          <w:p w14:paraId="6DB1AE18">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2.团队成员（不含项目经理）：</w:t>
            </w:r>
          </w:p>
          <w:p w14:paraId="2C96124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（1）生产研制及分析优化专业技术人员：具备本科及以上学历，3年及以上工作经验，每满足一人得</w:t>
            </w:r>
            <w:r>
              <w:rPr>
                <w:rFonts w:hint="eastAsia" w:ascii="仿宋" w:hAnsi="仿宋" w:eastAsia="仿宋" w:cs="仿宋"/>
                <w:color w:val="000000"/>
                <w:kern w:val="0"/>
                <w:sz w:val="20"/>
                <w:lang w:val="en-US" w:eastAsia="zh-CN" w:bidi="ar"/>
              </w:rPr>
              <w:t>2</w:t>
            </w:r>
            <w:r>
              <w:rPr>
                <w:rFonts w:hint="eastAsia" w:ascii="仿宋" w:hAnsi="仿宋" w:eastAsia="仿宋" w:cs="仿宋"/>
                <w:color w:val="000000"/>
                <w:kern w:val="0"/>
                <w:sz w:val="20"/>
                <w:lang w:bidi="ar"/>
              </w:rPr>
              <w:t>分，最高得</w:t>
            </w:r>
            <w:r>
              <w:rPr>
                <w:rFonts w:hint="eastAsia" w:ascii="仿宋" w:hAnsi="仿宋" w:eastAsia="仿宋" w:cs="仿宋"/>
                <w:color w:val="000000"/>
                <w:kern w:val="0"/>
                <w:sz w:val="20"/>
                <w:lang w:val="en-US" w:eastAsia="zh-CN" w:bidi="ar"/>
              </w:rPr>
              <w:t>4</w:t>
            </w:r>
            <w:r>
              <w:rPr>
                <w:rFonts w:hint="eastAsia" w:ascii="仿宋" w:hAnsi="仿宋" w:eastAsia="仿宋" w:cs="仿宋"/>
                <w:color w:val="000000"/>
                <w:kern w:val="0"/>
                <w:sz w:val="20"/>
                <w:lang w:bidi="ar"/>
              </w:rPr>
              <w:t>分，否则得0分。</w:t>
            </w:r>
          </w:p>
          <w:p w14:paraId="3D5F85F4">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（2）生产安装人员：具备3年及以上工作经验，专科及以上学历，每满足一人得</w:t>
            </w:r>
            <w:r>
              <w:rPr>
                <w:rFonts w:hint="eastAsia" w:ascii="仿宋" w:hAnsi="仿宋" w:eastAsia="仿宋" w:cs="仿宋"/>
                <w:color w:val="000000"/>
                <w:kern w:val="0"/>
                <w:sz w:val="20"/>
                <w:lang w:val="en-US" w:eastAsia="zh-CN" w:bidi="ar"/>
              </w:rPr>
              <w:t>2</w:t>
            </w:r>
            <w:r>
              <w:rPr>
                <w:rFonts w:hint="eastAsia" w:ascii="仿宋" w:hAnsi="仿宋" w:eastAsia="仿宋" w:cs="仿宋"/>
                <w:color w:val="000000"/>
                <w:kern w:val="0"/>
                <w:sz w:val="20"/>
                <w:lang w:bidi="ar"/>
              </w:rPr>
              <w:t>分，最高得</w:t>
            </w:r>
            <w:r>
              <w:rPr>
                <w:rFonts w:hint="eastAsia" w:ascii="仿宋" w:hAnsi="仿宋" w:eastAsia="仿宋" w:cs="仿宋"/>
                <w:color w:val="000000"/>
                <w:kern w:val="0"/>
                <w:sz w:val="20"/>
                <w:lang w:val="en-US" w:eastAsia="zh-CN" w:bidi="ar"/>
              </w:rPr>
              <w:t>4</w:t>
            </w:r>
            <w:r>
              <w:rPr>
                <w:rFonts w:hint="eastAsia" w:ascii="仿宋" w:hAnsi="仿宋" w:eastAsia="仿宋" w:cs="仿宋"/>
                <w:color w:val="000000"/>
                <w:kern w:val="0"/>
                <w:sz w:val="20"/>
                <w:lang w:bidi="ar"/>
              </w:rPr>
              <w:t>分，否则得0分。</w:t>
            </w:r>
          </w:p>
        </w:tc>
        <w:tc>
          <w:tcPr>
            <w:tcW w:w="2846" w:type="dxa"/>
            <w:noWrap/>
            <w:vAlign w:val="center"/>
          </w:tcPr>
          <w:p w14:paraId="4FDBE81E">
            <w:pPr>
              <w:rPr>
                <w:rFonts w:hint="eastAsia" w:ascii="仿宋" w:hAnsi="仿宋" w:eastAsia="仿宋" w:cs="仿宋"/>
                <w:kern w:val="0"/>
                <w:sz w:val="20"/>
                <w:lang w:bidi="ar"/>
              </w:rPr>
            </w:pPr>
            <w:r>
              <w:rPr>
                <w:rFonts w:hint="eastAsia" w:ascii="仿宋" w:hAnsi="仿宋" w:eastAsia="仿宋" w:cs="仿宋"/>
                <w:kern w:val="0"/>
                <w:sz w:val="20"/>
                <w:lang w:bidi="ar"/>
              </w:rPr>
              <w:t>1、提供人员清单以及有效的身份证正反面扫描件。</w:t>
            </w:r>
          </w:p>
          <w:p w14:paraId="5CD0FE78">
            <w:pPr>
              <w:rPr>
                <w:rFonts w:hint="eastAsia" w:ascii="仿宋" w:hAnsi="仿宋" w:eastAsia="仿宋" w:cs="仿宋"/>
                <w:kern w:val="0"/>
                <w:sz w:val="20"/>
                <w:lang w:bidi="ar"/>
              </w:rPr>
            </w:pPr>
            <w:r>
              <w:rPr>
                <w:rFonts w:hint="eastAsia" w:ascii="仿宋" w:hAnsi="仿宋" w:eastAsia="仿宋" w:cs="仿宋"/>
                <w:kern w:val="0"/>
                <w:sz w:val="20"/>
                <w:lang w:bidi="ar"/>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009A7080">
            <w:pPr>
              <w:rPr>
                <w:rFonts w:hint="eastAsia" w:ascii="仿宋" w:hAnsi="仿宋" w:eastAsia="仿宋" w:cs="仿宋"/>
                <w:kern w:val="0"/>
                <w:sz w:val="20"/>
                <w:lang w:bidi="ar"/>
              </w:rPr>
            </w:pPr>
            <w:r>
              <w:rPr>
                <w:rFonts w:hint="eastAsia" w:ascii="仿宋" w:hAnsi="仿宋" w:eastAsia="仿宋" w:cs="仿宋"/>
                <w:kern w:val="0"/>
                <w:sz w:val="20"/>
                <w:lang w:bidi="ar"/>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2525A362">
            <w:pPr>
              <w:rPr>
                <w:rFonts w:hint="eastAsia" w:ascii="仿宋" w:hAnsi="仿宋" w:eastAsia="仿宋" w:cs="仿宋"/>
                <w:kern w:val="0"/>
                <w:sz w:val="20"/>
                <w:lang w:bidi="ar"/>
              </w:rPr>
            </w:pPr>
            <w:r>
              <w:rPr>
                <w:rFonts w:hint="eastAsia" w:ascii="仿宋" w:hAnsi="仿宋" w:eastAsia="仿宋" w:cs="仿宋"/>
                <w:kern w:val="0"/>
                <w:sz w:val="20"/>
                <w:lang w:bidi="ar"/>
              </w:rPr>
              <w:t>4、社保：项目经理需提供应答截止之日近六个月内任意连续三个月由社保局或税务部门出具的在应答方单位工作缴纳社保证明清单。</w:t>
            </w:r>
          </w:p>
          <w:p w14:paraId="025AA729">
            <w:pPr>
              <w:rPr>
                <w:rFonts w:hint="eastAsia" w:ascii="仿宋" w:hAnsi="仿宋" w:eastAsia="仿宋" w:cs="仿宋"/>
                <w:kern w:val="0"/>
                <w:sz w:val="20"/>
                <w:lang w:bidi="ar"/>
              </w:rPr>
            </w:pPr>
            <w:r>
              <w:rPr>
                <w:rFonts w:hint="eastAsia" w:ascii="仿宋" w:hAnsi="仿宋" w:eastAsia="仿宋" w:cs="仿宋"/>
                <w:kern w:val="0"/>
                <w:sz w:val="20"/>
                <w:lang w:bidi="ar"/>
              </w:rPr>
              <w:t>5、</w:t>
            </w:r>
            <w:r>
              <w:rPr>
                <w:rFonts w:hint="eastAsia" w:ascii="仿宋" w:hAnsi="仿宋" w:eastAsia="仿宋" w:cs="仿宋"/>
                <w:sz w:val="20"/>
              </w:rPr>
              <w:t>工作经验：以最高学历毕业证书时间为准</w:t>
            </w:r>
            <w:r>
              <w:rPr>
                <w:rFonts w:hint="eastAsia" w:ascii="仿宋" w:hAnsi="仿宋" w:eastAsia="仿宋" w:cs="仿宋"/>
                <w:kern w:val="0"/>
                <w:sz w:val="20"/>
                <w:lang w:bidi="ar"/>
              </w:rPr>
              <w:t>。</w:t>
            </w:r>
          </w:p>
          <w:p w14:paraId="40D2FBD2">
            <w:pPr>
              <w:rPr>
                <w:rFonts w:hint="eastAsia" w:ascii="仿宋" w:hAnsi="仿宋" w:eastAsia="仿宋" w:cs="仿宋"/>
                <w:sz w:val="20"/>
              </w:rPr>
            </w:pPr>
            <w:r>
              <w:rPr>
                <w:rFonts w:hint="eastAsia" w:ascii="仿宋" w:hAnsi="仿宋" w:eastAsia="仿宋" w:cs="仿宋"/>
                <w:sz w:val="20"/>
              </w:rPr>
              <w:t>6、项目经历：①提供以上人员工作经验的合同关键页扫描件【合同首页、体现合同主要内容的页面（须能证明该人员作为项目经理或团队成员角色参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p w14:paraId="20A75524">
            <w:pPr>
              <w:rPr>
                <w:rFonts w:hint="eastAsia" w:ascii="仿宋" w:hAnsi="仿宋" w:eastAsia="仿宋" w:cs="仿宋"/>
                <w:sz w:val="20"/>
              </w:rPr>
            </w:pPr>
            <w:r>
              <w:rPr>
                <w:rFonts w:hint="eastAsia" w:ascii="仿宋" w:hAnsi="仿宋" w:eastAsia="仿宋" w:cs="仿宋"/>
                <w:color w:val="000000"/>
                <w:kern w:val="0"/>
                <w:sz w:val="20"/>
              </w:rPr>
              <w:t>说明：劳动合同、社保证明不符合要求的，视作该人员与应答人的隶属关系不成立，该人员各项均不得分。</w:t>
            </w:r>
          </w:p>
        </w:tc>
      </w:tr>
      <w:tr w14:paraId="2DD1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0" w:type="dxa"/>
            <w:shd w:val="clear" w:color="auto" w:fill="auto"/>
            <w:noWrap/>
            <w:vAlign w:val="center"/>
          </w:tcPr>
          <w:p w14:paraId="0EB0F88A">
            <w:pPr>
              <w:jc w:val="center"/>
              <w:rPr>
                <w:rFonts w:hint="eastAsia" w:ascii="仿宋" w:hAnsi="仿宋" w:eastAsia="仿宋" w:cs="仿宋"/>
                <w:b/>
                <w:bCs/>
                <w:kern w:val="0"/>
                <w:sz w:val="20"/>
              </w:rPr>
            </w:pPr>
            <w:r>
              <w:rPr>
                <w:rFonts w:hint="eastAsia" w:ascii="仿宋" w:hAnsi="仿宋" w:eastAsia="仿宋" w:cs="仿宋"/>
                <w:b/>
                <w:bCs/>
                <w:kern w:val="0"/>
                <w:sz w:val="20"/>
              </w:rPr>
              <w:t>技术转移及培训</w:t>
            </w:r>
          </w:p>
        </w:tc>
        <w:tc>
          <w:tcPr>
            <w:tcW w:w="1134" w:type="dxa"/>
            <w:shd w:val="clear" w:color="auto" w:fill="auto"/>
            <w:noWrap/>
            <w:vAlign w:val="center"/>
          </w:tcPr>
          <w:p w14:paraId="0963296B">
            <w:pPr>
              <w:widowControl/>
              <w:jc w:val="center"/>
              <w:textAlignment w:val="center"/>
              <w:rPr>
                <w:rFonts w:hint="eastAsia" w:ascii="仿宋" w:hAnsi="仿宋" w:eastAsia="仿宋"/>
                <w:b/>
                <w:bCs/>
                <w:color w:val="000000"/>
                <w:sz w:val="20"/>
              </w:rPr>
            </w:pPr>
            <w:r>
              <w:rPr>
                <w:rFonts w:hint="eastAsia" w:ascii="仿宋" w:hAnsi="仿宋" w:eastAsia="仿宋"/>
                <w:b/>
                <w:bCs/>
                <w:color w:val="000000"/>
                <w:sz w:val="20"/>
              </w:rPr>
              <w:t>技术转移及培训</w:t>
            </w:r>
          </w:p>
        </w:tc>
        <w:tc>
          <w:tcPr>
            <w:tcW w:w="556" w:type="dxa"/>
            <w:noWrap/>
            <w:vAlign w:val="center"/>
          </w:tcPr>
          <w:p w14:paraId="113D2F91">
            <w:pPr>
              <w:widowControl/>
              <w:jc w:val="center"/>
              <w:textAlignment w:val="center"/>
              <w:rPr>
                <w:rFonts w:hint="eastAsia" w:ascii="仿宋" w:hAnsi="仿宋" w:eastAsia="仿宋" w:cs="仿宋"/>
                <w:color w:val="000000"/>
                <w:kern w:val="0"/>
                <w:sz w:val="20"/>
                <w:lang w:bidi="ar"/>
              </w:rPr>
            </w:pPr>
            <w:r>
              <w:rPr>
                <w:rFonts w:ascii="仿宋" w:hAnsi="仿宋" w:eastAsia="仿宋" w:cs="仿宋"/>
                <w:color w:val="000000"/>
                <w:kern w:val="0"/>
                <w:sz w:val="20"/>
                <w:lang w:bidi="ar"/>
              </w:rPr>
              <w:t>4</w:t>
            </w:r>
          </w:p>
        </w:tc>
        <w:tc>
          <w:tcPr>
            <w:tcW w:w="5670" w:type="dxa"/>
            <w:shd w:val="clear" w:color="000000" w:fill="auto"/>
            <w:vAlign w:val="center"/>
          </w:tcPr>
          <w:p w14:paraId="706E338E">
            <w:pPr>
              <w:rPr>
                <w:rFonts w:hint="eastAsia" w:ascii="仿宋" w:hAnsi="仿宋" w:eastAsia="仿宋"/>
                <w:color w:val="000000"/>
                <w:sz w:val="20"/>
              </w:rPr>
            </w:pPr>
            <w:r>
              <w:rPr>
                <w:rFonts w:hint="eastAsia" w:ascii="仿宋" w:hAnsi="仿宋" w:eastAsia="仿宋"/>
                <w:color w:val="000000"/>
                <w:sz w:val="20"/>
              </w:rPr>
              <w:t>1、有完善培训机制和安排，技术转移有相应手段，得(2,</w:t>
            </w:r>
            <w:r>
              <w:rPr>
                <w:rFonts w:ascii="仿宋" w:hAnsi="仿宋" w:eastAsia="仿宋"/>
                <w:color w:val="000000"/>
                <w:sz w:val="20"/>
              </w:rPr>
              <w:t>4</w:t>
            </w:r>
            <w:r>
              <w:rPr>
                <w:rFonts w:hint="eastAsia" w:ascii="仿宋" w:hAnsi="仿宋" w:eastAsia="仿宋"/>
                <w:color w:val="000000"/>
                <w:sz w:val="20"/>
              </w:rPr>
              <w:t>]分；</w:t>
            </w:r>
          </w:p>
          <w:p w14:paraId="26E09706">
            <w:pPr>
              <w:rPr>
                <w:rFonts w:hint="eastAsia" w:ascii="仿宋" w:hAnsi="仿宋" w:eastAsia="仿宋"/>
                <w:color w:val="000000"/>
                <w:sz w:val="20"/>
              </w:rPr>
            </w:pPr>
            <w:r>
              <w:rPr>
                <w:rFonts w:hint="eastAsia" w:ascii="仿宋" w:hAnsi="仿宋" w:eastAsia="仿宋"/>
                <w:color w:val="000000"/>
                <w:sz w:val="20"/>
              </w:rPr>
              <w:t>2、有一定培训机制，但是不够完善，得（0,2]分；</w:t>
            </w:r>
          </w:p>
          <w:p w14:paraId="3ADC7B55">
            <w:pPr>
              <w:rPr>
                <w:rFonts w:hint="eastAsia" w:ascii="仿宋" w:hAnsi="仿宋" w:eastAsia="仿宋"/>
                <w:color w:val="000000"/>
                <w:sz w:val="20"/>
              </w:rPr>
            </w:pPr>
            <w:r>
              <w:rPr>
                <w:rFonts w:hint="eastAsia" w:ascii="仿宋" w:hAnsi="仿宋" w:eastAsia="仿宋"/>
                <w:color w:val="000000"/>
                <w:sz w:val="20"/>
              </w:rPr>
              <w:t>3、无培训机制，得0分</w:t>
            </w:r>
          </w:p>
        </w:tc>
        <w:tc>
          <w:tcPr>
            <w:tcW w:w="2846" w:type="dxa"/>
            <w:shd w:val="clear" w:color="000000" w:fill="auto"/>
            <w:noWrap/>
            <w:vAlign w:val="center"/>
          </w:tcPr>
          <w:p w14:paraId="59821261">
            <w:pPr>
              <w:rPr>
                <w:lang w:bidi="ar"/>
              </w:rPr>
            </w:pPr>
          </w:p>
        </w:tc>
      </w:tr>
      <w:tr w14:paraId="4451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140" w:type="dxa"/>
            <w:noWrap/>
            <w:vAlign w:val="center"/>
          </w:tcPr>
          <w:p w14:paraId="402C4690">
            <w:pPr>
              <w:jc w:val="center"/>
              <w:rPr>
                <w:rFonts w:hint="eastAsia" w:ascii="仿宋" w:hAnsi="仿宋" w:eastAsia="仿宋" w:cs="仿宋"/>
                <w:b/>
                <w:bCs/>
                <w:kern w:val="0"/>
                <w:sz w:val="20"/>
              </w:rPr>
            </w:pPr>
            <w:r>
              <w:rPr>
                <w:rFonts w:hint="eastAsia" w:ascii="仿宋" w:hAnsi="仿宋" w:eastAsia="仿宋" w:cs="仿宋"/>
                <w:b/>
                <w:bCs/>
                <w:kern w:val="0"/>
                <w:sz w:val="20"/>
              </w:rPr>
              <w:t>代工设备性能参数</w:t>
            </w:r>
          </w:p>
        </w:tc>
        <w:tc>
          <w:tcPr>
            <w:tcW w:w="1134" w:type="dxa"/>
            <w:noWrap/>
            <w:vAlign w:val="center"/>
          </w:tcPr>
          <w:p w14:paraId="47130646">
            <w:pPr>
              <w:widowControl/>
              <w:jc w:val="center"/>
              <w:textAlignment w:val="center"/>
              <w:rPr>
                <w:rFonts w:hint="eastAsia" w:ascii="仿宋" w:hAnsi="仿宋" w:eastAsia="仿宋"/>
                <w:b/>
                <w:bCs/>
                <w:color w:val="000000"/>
                <w:sz w:val="20"/>
              </w:rPr>
            </w:pPr>
            <w:r>
              <w:rPr>
                <w:rFonts w:hint="eastAsia" w:ascii="仿宋" w:hAnsi="仿宋" w:eastAsia="仿宋" w:cs="仿宋"/>
                <w:b/>
                <w:bCs/>
                <w:kern w:val="0"/>
                <w:sz w:val="20"/>
              </w:rPr>
              <w:t>代工设备性能参数</w:t>
            </w:r>
          </w:p>
        </w:tc>
        <w:tc>
          <w:tcPr>
            <w:tcW w:w="556" w:type="dxa"/>
            <w:noWrap/>
            <w:vAlign w:val="center"/>
          </w:tcPr>
          <w:p w14:paraId="58C66FB6">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36</w:t>
            </w:r>
          </w:p>
        </w:tc>
        <w:tc>
          <w:tcPr>
            <w:tcW w:w="5670" w:type="dxa"/>
            <w:shd w:val="clear" w:color="000000" w:fill="auto"/>
            <w:vAlign w:val="center"/>
          </w:tcPr>
          <w:p w14:paraId="06D0ACE3">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对配置准确性进行评分，针对技术规范书中的典配1相关配置要求，提供配置说明或官网截图或彩页，按标准得分，最高36分。</w:t>
            </w:r>
          </w:p>
          <w:p w14:paraId="4BF72FBE">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(1)处理器:配置CPU个数≥2（3分）</w:t>
            </w:r>
          </w:p>
          <w:p w14:paraId="07D0E45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(2)处理器:单CPU≥64核（3分）</w:t>
            </w:r>
          </w:p>
          <w:p w14:paraId="72F66D33">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(3)处理器:单颗基础主频≥2.7GHz（3分）</w:t>
            </w:r>
          </w:p>
          <w:p w14:paraId="392634B5">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(4)内存:支持DDR5，内存配置容量≥768GB，内存频率≥4800MT/s（3分）</w:t>
            </w:r>
          </w:p>
          <w:p w14:paraId="26B81BEA">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lang w:bidi="ar"/>
              </w:rPr>
              <w:t>(5</w:t>
            </w:r>
            <w:r>
              <w:rPr>
                <w:rFonts w:hint="eastAsia" w:ascii="仿宋" w:hAnsi="仿宋" w:eastAsia="仿宋" w:cs="仿宋"/>
                <w:color w:val="000000"/>
                <w:kern w:val="0"/>
                <w:sz w:val="20"/>
                <w:highlight w:val="none"/>
                <w:lang w:bidi="ar"/>
              </w:rPr>
              <w:t>)低精度支持:支持FP8/FP4精度计算（3分）</w:t>
            </w:r>
          </w:p>
          <w:p w14:paraId="5AE02E9A">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 xml:space="preserve">(6)硬盘:系统盘≥480G SATA-SSD*2，数据盘≥3840G </w:t>
            </w:r>
            <w:bookmarkStart w:id="0" w:name="_GoBack"/>
            <w:bookmarkEnd w:id="0"/>
            <w:r>
              <w:rPr>
                <w:rFonts w:hint="eastAsia" w:ascii="仿宋" w:hAnsi="仿宋" w:eastAsia="仿宋" w:cs="仿宋"/>
                <w:color w:val="000000"/>
                <w:kern w:val="0"/>
                <w:sz w:val="20"/>
                <w:highlight w:val="none"/>
                <w:lang w:bidi="ar"/>
              </w:rPr>
              <w:t>NVME-SSD*4（3分）</w:t>
            </w:r>
          </w:p>
          <w:p w14:paraId="0D6BEDDC">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(7)网络接口:双端口25G独立网卡*2（3分）</w:t>
            </w:r>
          </w:p>
          <w:p w14:paraId="3BEBE6ED">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(8)AI加速卡:自主可控AI加速卡（3分）</w:t>
            </w:r>
          </w:p>
          <w:p w14:paraId="434DF984">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(9)AI加速卡:AI加速卡≥8（3分）</w:t>
            </w:r>
          </w:p>
          <w:p w14:paraId="0B052F9C">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(10)AI加速卡:单卡显存≥144GB（3分）</w:t>
            </w:r>
          </w:p>
          <w:p w14:paraId="37EC0FD8">
            <w:pPr>
              <w:widowControl/>
              <w:jc w:val="left"/>
              <w:textAlignment w:val="center"/>
              <w:rPr>
                <w:rFonts w:hint="eastAsia" w:ascii="仿宋" w:hAnsi="仿宋" w:eastAsia="仿宋" w:cs="仿宋"/>
                <w:color w:val="000000"/>
                <w:kern w:val="0"/>
                <w:sz w:val="20"/>
                <w:highlight w:val="none"/>
                <w:lang w:bidi="ar"/>
              </w:rPr>
            </w:pPr>
            <w:r>
              <w:rPr>
                <w:rFonts w:hint="eastAsia" w:ascii="仿宋" w:hAnsi="仿宋" w:eastAsia="仿宋" w:cs="仿宋"/>
                <w:color w:val="000000"/>
                <w:kern w:val="0"/>
                <w:sz w:val="20"/>
                <w:highlight w:val="none"/>
                <w:lang w:bidi="ar"/>
              </w:rPr>
              <w:t>(11)卡间互联带宽:≥800GB/s（3分）</w:t>
            </w:r>
          </w:p>
          <w:p w14:paraId="3473DDB0">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highlight w:val="none"/>
                <w:lang w:bidi="ar"/>
              </w:rPr>
              <w:t>(12)电源:220VAC/240HVDC交直流兼容电源，支持电源冗余（3分）</w:t>
            </w:r>
          </w:p>
        </w:tc>
        <w:tc>
          <w:tcPr>
            <w:tcW w:w="2846" w:type="dxa"/>
            <w:shd w:val="clear" w:color="000000" w:fill="auto"/>
            <w:noWrap/>
            <w:vAlign w:val="center"/>
          </w:tcPr>
          <w:p w14:paraId="3525CE14">
            <w:pPr>
              <w:widowControl/>
              <w:jc w:val="left"/>
              <w:textAlignment w:val="center"/>
            </w:pPr>
            <w:r>
              <w:rPr>
                <w:rFonts w:hint="eastAsia" w:ascii="仿宋" w:hAnsi="仿宋" w:eastAsia="仿宋" w:cs="仿宋"/>
                <w:color w:val="000000"/>
                <w:kern w:val="0"/>
                <w:sz w:val="20"/>
                <w:highlight w:val="none"/>
                <w:lang w:bidi="ar"/>
              </w:rPr>
              <w:t>提供文字配置说</w:t>
            </w:r>
            <w:r>
              <w:rPr>
                <w:rFonts w:hint="eastAsia" w:ascii="仿宋" w:hAnsi="仿宋" w:eastAsia="仿宋" w:cs="仿宋"/>
                <w:color w:val="000000"/>
                <w:kern w:val="0"/>
                <w:sz w:val="20"/>
                <w:highlight w:val="none"/>
                <w:shd w:val="clear"/>
                <w:lang w:bidi="ar"/>
              </w:rPr>
              <w:t>明</w:t>
            </w:r>
            <w:r>
              <w:rPr>
                <w:rFonts w:hint="eastAsia" w:ascii="仿宋" w:hAnsi="仿宋" w:eastAsia="仿宋" w:cs="仿宋"/>
                <w:color w:val="000000"/>
                <w:kern w:val="0"/>
                <w:sz w:val="20"/>
                <w:highlight w:val="none"/>
                <w:shd w:val="clear"/>
                <w:lang w:val="en-US" w:eastAsia="zh-CN" w:bidi="ar"/>
              </w:rPr>
              <w:t>并附上</w:t>
            </w:r>
            <w:r>
              <w:rPr>
                <w:rFonts w:hint="eastAsia" w:ascii="仿宋" w:hAnsi="仿宋" w:eastAsia="仿宋" w:cs="仿宋"/>
                <w:color w:val="000000"/>
                <w:kern w:val="0"/>
                <w:sz w:val="20"/>
                <w:highlight w:val="none"/>
                <w:lang w:bidi="ar"/>
              </w:rPr>
              <w:t>对应的功能官网截图或彩页</w:t>
            </w:r>
          </w:p>
        </w:tc>
      </w:tr>
      <w:tr w14:paraId="320E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140" w:type="dxa"/>
            <w:noWrap/>
            <w:vAlign w:val="center"/>
          </w:tcPr>
          <w:p w14:paraId="2A85A7E8">
            <w:pPr>
              <w:widowControl/>
              <w:jc w:val="center"/>
              <w:textAlignment w:val="center"/>
              <w:rPr>
                <w:rFonts w:hint="eastAsia" w:ascii="仿宋" w:hAnsi="仿宋" w:eastAsia="仿宋" w:cs="仿宋"/>
                <w:kern w:val="0"/>
                <w:sz w:val="20"/>
              </w:rPr>
            </w:pPr>
            <w:r>
              <w:rPr>
                <w:rFonts w:hint="eastAsia" w:ascii="仿宋" w:hAnsi="仿宋" w:eastAsia="仿宋"/>
                <w:b/>
                <w:bCs/>
                <w:color w:val="000000"/>
                <w:sz w:val="20"/>
              </w:rPr>
              <w:t>服务支持能力评估</w:t>
            </w:r>
          </w:p>
        </w:tc>
        <w:tc>
          <w:tcPr>
            <w:tcW w:w="1134" w:type="dxa"/>
            <w:noWrap/>
            <w:vAlign w:val="center"/>
          </w:tcPr>
          <w:p w14:paraId="1EAB3177">
            <w:pPr>
              <w:widowControl/>
              <w:jc w:val="center"/>
              <w:textAlignment w:val="center"/>
              <w:rPr>
                <w:rFonts w:hint="eastAsia" w:ascii="仿宋" w:hAnsi="仿宋" w:eastAsia="仿宋" w:cs="仿宋"/>
                <w:sz w:val="20"/>
              </w:rPr>
            </w:pPr>
            <w:r>
              <w:rPr>
                <w:rFonts w:hint="eastAsia" w:ascii="仿宋" w:hAnsi="仿宋" w:eastAsia="仿宋"/>
                <w:b/>
                <w:bCs/>
                <w:color w:val="000000"/>
                <w:sz w:val="20"/>
              </w:rPr>
              <w:t>服务支持能力</w:t>
            </w:r>
          </w:p>
        </w:tc>
        <w:tc>
          <w:tcPr>
            <w:tcW w:w="556" w:type="dxa"/>
            <w:shd w:val="clear" w:color="000000" w:fill="auto"/>
            <w:noWrap/>
            <w:vAlign w:val="center"/>
          </w:tcPr>
          <w:p w14:paraId="26B43C77">
            <w:pPr>
              <w:widowControl/>
              <w:jc w:val="center"/>
              <w:textAlignment w:val="center"/>
              <w:rPr>
                <w:rFonts w:hint="eastAsia" w:ascii="仿宋" w:hAnsi="仿宋" w:eastAsia="仿宋" w:cs="仿宋"/>
                <w:sz w:val="20"/>
              </w:rPr>
            </w:pPr>
            <w:r>
              <w:rPr>
                <w:rFonts w:ascii="仿宋" w:hAnsi="仿宋" w:eastAsia="仿宋" w:cs="仿宋"/>
                <w:color w:val="000000"/>
                <w:kern w:val="0"/>
                <w:sz w:val="20"/>
                <w:lang w:bidi="ar"/>
              </w:rPr>
              <w:t>6</w:t>
            </w:r>
          </w:p>
        </w:tc>
        <w:tc>
          <w:tcPr>
            <w:tcW w:w="5670" w:type="dxa"/>
            <w:shd w:val="clear" w:color="000000" w:fill="auto"/>
            <w:vAlign w:val="center"/>
          </w:tcPr>
          <w:p w14:paraId="354BA2F6">
            <w:pPr>
              <w:pStyle w:val="19"/>
              <w:ind w:left="0"/>
              <w:rPr>
                <w:rFonts w:hint="eastAsia" w:ascii="仿宋" w:hAnsi="仿宋" w:eastAsia="仿宋"/>
                <w:lang w:bidi="ar"/>
              </w:rPr>
            </w:pPr>
            <w:r>
              <w:rPr>
                <w:rFonts w:hint="eastAsia" w:ascii="仿宋" w:hAnsi="仿宋" w:eastAsia="仿宋" w:cs="仿宋"/>
                <w:color w:val="000000"/>
                <w:kern w:val="0"/>
                <w:sz w:val="20"/>
                <w:szCs w:val="20"/>
                <w:lang w:bidi="ar"/>
              </w:rPr>
              <w:t>在浙江省内设有常驻工作点，且专业技术人员不少于10人，或承诺成交后30日内在浙江省内成立常驻工作点且本项目投入专业技术人员1</w:t>
            </w:r>
            <w:r>
              <w:rPr>
                <w:rFonts w:ascii="仿宋" w:hAnsi="仿宋" w:eastAsia="仿宋" w:cs="仿宋"/>
                <w:color w:val="000000"/>
                <w:kern w:val="0"/>
                <w:sz w:val="20"/>
                <w:szCs w:val="20"/>
                <w:lang w:bidi="ar"/>
              </w:rPr>
              <w:t>0</w:t>
            </w:r>
            <w:r>
              <w:rPr>
                <w:rFonts w:hint="eastAsia" w:ascii="仿宋" w:hAnsi="仿宋" w:eastAsia="仿宋" w:cs="仿宋"/>
                <w:color w:val="000000"/>
                <w:kern w:val="0"/>
                <w:sz w:val="20"/>
                <w:szCs w:val="20"/>
                <w:lang w:bidi="ar"/>
              </w:rPr>
              <w:t>人及以上的，得6分；其余情况不得分。</w:t>
            </w:r>
          </w:p>
        </w:tc>
        <w:tc>
          <w:tcPr>
            <w:tcW w:w="2846" w:type="dxa"/>
            <w:shd w:val="clear" w:color="000000" w:fill="auto"/>
            <w:noWrap/>
            <w:vAlign w:val="center"/>
          </w:tcPr>
          <w:p w14:paraId="61D13035">
            <w:pPr>
              <w:rPr>
                <w:rFonts w:hint="eastAsia" w:ascii="仿宋" w:hAnsi="仿宋" w:eastAsia="仿宋" w:cs="仿宋"/>
                <w:kern w:val="0"/>
                <w:sz w:val="20"/>
              </w:rPr>
            </w:pPr>
            <w:r>
              <w:rPr>
                <w:rFonts w:hint="eastAsia" w:ascii="仿宋" w:hAnsi="仿宋" w:eastAsia="仿宋" w:cs="仿宋"/>
                <w:kern w:val="0"/>
                <w:sz w:val="20"/>
              </w:rPr>
              <w:t>提供营业执照或房产证明或办公场所租赁协议或承诺函并附拟派人员清单</w:t>
            </w:r>
          </w:p>
        </w:tc>
      </w:tr>
      <w:tr w14:paraId="23B2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40" w:type="dxa"/>
            <w:vAlign w:val="center"/>
          </w:tcPr>
          <w:p w14:paraId="0876CA8F">
            <w:pPr>
              <w:widowControl/>
              <w:jc w:val="center"/>
              <w:textAlignment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1134" w:type="dxa"/>
            <w:noWrap/>
            <w:vAlign w:val="center"/>
          </w:tcPr>
          <w:p w14:paraId="7E3DF20B">
            <w:pPr>
              <w:widowControl/>
              <w:jc w:val="center"/>
              <w:textAlignment w:val="center"/>
              <w:rPr>
                <w:rFonts w:hint="eastAsia" w:ascii="仿宋" w:hAnsi="仿宋" w:eastAsia="仿宋" w:cs="仿宋"/>
                <w:b/>
                <w:bCs/>
                <w:sz w:val="20"/>
              </w:rPr>
            </w:pPr>
            <w:r>
              <w:rPr>
                <w:rFonts w:hint="eastAsia" w:ascii="仿宋" w:hAnsi="仿宋" w:eastAsia="仿宋" w:cs="仿宋"/>
                <w:b/>
                <w:bCs/>
                <w:color w:val="000000"/>
                <w:kern w:val="0"/>
                <w:sz w:val="20"/>
                <w:lang w:bidi="ar"/>
              </w:rPr>
              <w:t>经验业绩</w:t>
            </w:r>
          </w:p>
        </w:tc>
        <w:tc>
          <w:tcPr>
            <w:tcW w:w="556" w:type="dxa"/>
            <w:shd w:val="clear" w:color="000000" w:fill="auto"/>
            <w:noWrap/>
            <w:vAlign w:val="center"/>
          </w:tcPr>
          <w:p w14:paraId="06CA94C0">
            <w:pPr>
              <w:widowControl/>
              <w:jc w:val="center"/>
              <w:textAlignment w:val="center"/>
              <w:rPr>
                <w:rFonts w:hint="eastAsia" w:ascii="仿宋" w:hAnsi="仿宋" w:eastAsia="仿宋" w:cs="仿宋"/>
                <w:sz w:val="20"/>
                <w:lang w:eastAsia="zh-CN"/>
              </w:rPr>
            </w:pPr>
            <w:r>
              <w:rPr>
                <w:rFonts w:hint="eastAsia" w:ascii="仿宋" w:hAnsi="仿宋" w:eastAsia="仿宋" w:cs="仿宋"/>
                <w:color w:val="000000"/>
                <w:kern w:val="0"/>
                <w:sz w:val="20"/>
                <w:lang w:bidi="ar"/>
              </w:rPr>
              <w:t>1</w:t>
            </w:r>
            <w:r>
              <w:rPr>
                <w:rFonts w:hint="eastAsia" w:ascii="仿宋" w:hAnsi="仿宋" w:eastAsia="仿宋" w:cs="仿宋"/>
                <w:color w:val="000000"/>
                <w:kern w:val="0"/>
                <w:sz w:val="20"/>
                <w:lang w:val="en-US" w:eastAsia="zh-CN" w:bidi="ar"/>
              </w:rPr>
              <w:t>2</w:t>
            </w:r>
          </w:p>
        </w:tc>
        <w:tc>
          <w:tcPr>
            <w:tcW w:w="5670" w:type="dxa"/>
            <w:shd w:val="clear" w:color="000000" w:fill="auto"/>
            <w:vAlign w:val="center"/>
          </w:tcPr>
          <w:p w14:paraId="5A3553A4">
            <w:pPr>
              <w:pStyle w:val="19"/>
              <w:ind w:left="0"/>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对20【23】年【1】月【1】日以来至公告发布之日，应答人的同类合同业绩进行评审（同类指：【服务器/一体机相关设备制造服务或代加工类服务项目或OEM服务项目案例】）：</w:t>
            </w:r>
          </w:p>
          <w:p w14:paraId="39FC66A6">
            <w:pPr>
              <w:pStyle w:val="19"/>
              <w:ind w:left="0"/>
              <w:rPr>
                <w:rFonts w:hint="eastAsia" w:ascii="仿宋" w:hAnsi="仿宋" w:eastAsia="仿宋" w:cs="仿宋"/>
                <w:color w:val="000000"/>
                <w:kern w:val="0"/>
                <w:sz w:val="20"/>
                <w:szCs w:val="20"/>
                <w:lang w:eastAsia="zh-CN" w:bidi="ar"/>
              </w:rPr>
            </w:pPr>
            <w:r>
              <w:rPr>
                <w:rFonts w:hint="eastAsia" w:ascii="仿宋" w:hAnsi="仿宋" w:eastAsia="仿宋" w:cs="仿宋"/>
                <w:color w:val="000000"/>
                <w:kern w:val="0"/>
                <w:sz w:val="20"/>
                <w:szCs w:val="20"/>
                <w:lang w:bidi="ar"/>
              </w:rPr>
              <w:t>a）按照有效合同含税金额累加，满分4分</w:t>
            </w:r>
            <w:r>
              <w:rPr>
                <w:rFonts w:hint="eastAsia" w:ascii="仿宋" w:hAnsi="仿宋" w:eastAsia="仿宋" w:cs="仿宋"/>
                <w:color w:val="000000"/>
                <w:kern w:val="0"/>
                <w:sz w:val="20"/>
                <w:szCs w:val="20"/>
                <w:lang w:eastAsia="zh-CN" w:bidi="ar"/>
              </w:rPr>
              <w:t>：</w:t>
            </w:r>
          </w:p>
          <w:p w14:paraId="4C4CF224">
            <w:pPr>
              <w:pStyle w:val="19"/>
              <w:ind w:left="0"/>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累计合同金额&gt;【400】万元，得1分；</w:t>
            </w:r>
          </w:p>
          <w:p w14:paraId="71A7424E">
            <w:pPr>
              <w:pStyle w:val="19"/>
              <w:ind w:left="0"/>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累计合同金额在【400】万元基础上，每增加【200】万元，再得1分。</w:t>
            </w:r>
          </w:p>
          <w:p w14:paraId="7B639191">
            <w:pPr>
              <w:pStyle w:val="19"/>
              <w:ind w:left="0"/>
              <w:rPr>
                <w:rFonts w:hint="eastAsia" w:ascii="仿宋" w:hAnsi="仿宋" w:eastAsia="仿宋" w:cs="仿宋"/>
                <w:color w:val="000000"/>
                <w:kern w:val="0"/>
                <w:sz w:val="20"/>
                <w:szCs w:val="20"/>
                <w:lang w:bidi="ar"/>
              </w:rPr>
            </w:pPr>
          </w:p>
          <w:p w14:paraId="598E6CD3">
            <w:pPr>
              <w:pStyle w:val="19"/>
              <w:ind w:left="0"/>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b）单份有效合同含税金额&gt;【400】万元的每份得2分，满分8分。</w:t>
            </w:r>
          </w:p>
          <w:p w14:paraId="0F0E5491">
            <w:pPr>
              <w:pStyle w:val="19"/>
              <w:ind w:left="0"/>
              <w:rPr>
                <w:rFonts w:hint="eastAsia" w:ascii="仿宋" w:hAnsi="仿宋" w:eastAsia="仿宋"/>
                <w:sz w:val="20"/>
                <w:szCs w:val="20"/>
                <w:lang w:bidi="ar"/>
              </w:rPr>
            </w:pPr>
            <w:r>
              <w:rPr>
                <w:rFonts w:hint="eastAsia" w:ascii="仿宋" w:hAnsi="仿宋" w:eastAsia="仿宋" w:cs="仿宋"/>
                <w:color w:val="000000"/>
                <w:kern w:val="0"/>
                <w:sz w:val="20"/>
                <w:szCs w:val="20"/>
                <w:lang w:bidi="ar"/>
              </w:rPr>
              <w:t>同一份有效合同业绩以上两条评分项可重复得分。</w:t>
            </w:r>
          </w:p>
        </w:tc>
        <w:tc>
          <w:tcPr>
            <w:tcW w:w="2846" w:type="dxa"/>
            <w:shd w:val="clear" w:color="000000" w:fill="auto"/>
            <w:noWrap/>
            <w:vAlign w:val="center"/>
          </w:tcPr>
          <w:p w14:paraId="4A1E053D">
            <w:pPr>
              <w:pStyle w:val="19"/>
              <w:ind w:left="0"/>
            </w:pPr>
            <w:r>
              <w:rPr>
                <w:rFonts w:hint="eastAsia" w:ascii="仿宋" w:hAnsi="仿宋" w:eastAsia="仿宋" w:cs="仿宋"/>
                <w:kern w:val="0"/>
                <w:sz w:val="20"/>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rPr>
              <w:br w:type="textWrapping"/>
            </w:r>
            <w:r>
              <w:rPr>
                <w:rFonts w:hint="eastAsia" w:ascii="仿宋" w:hAnsi="仿宋" w:eastAsia="仿宋" w:cs="仿宋"/>
                <w:kern w:val="0"/>
                <w:sz w:val="20"/>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14:paraId="26B2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140" w:type="dxa"/>
            <w:shd w:val="clear" w:color="000000" w:fill="auto"/>
            <w:noWrap/>
            <w:vAlign w:val="center"/>
          </w:tcPr>
          <w:p w14:paraId="2A7DFC5F">
            <w:pPr>
              <w:ind w:right="-109" w:rightChars="-52"/>
              <w:jc w:val="center"/>
              <w:rPr>
                <w:rFonts w:hint="eastAsia" w:ascii="仿宋" w:hAnsi="仿宋" w:eastAsia="仿宋" w:cs="仿宋"/>
                <w:b/>
                <w:bCs/>
                <w:sz w:val="20"/>
              </w:rPr>
            </w:pPr>
            <w:r>
              <w:rPr>
                <w:rFonts w:hint="eastAsia" w:ascii="仿宋" w:hAnsi="仿宋" w:eastAsia="仿宋" w:cs="仿宋"/>
                <w:b/>
                <w:bCs/>
                <w:sz w:val="20"/>
              </w:rPr>
              <w:t>履约能力</w:t>
            </w:r>
          </w:p>
        </w:tc>
        <w:tc>
          <w:tcPr>
            <w:tcW w:w="1134" w:type="dxa"/>
            <w:shd w:val="clear" w:color="000000" w:fill="auto"/>
            <w:vAlign w:val="center"/>
          </w:tcPr>
          <w:p w14:paraId="78E5914F">
            <w:pPr>
              <w:tabs>
                <w:tab w:val="left" w:pos="0"/>
              </w:tabs>
              <w:ind w:right="-13" w:rightChars="-6"/>
              <w:jc w:val="center"/>
              <w:rPr>
                <w:rFonts w:hint="eastAsia" w:ascii="仿宋" w:hAnsi="仿宋" w:eastAsia="仿宋" w:cs="仿宋"/>
                <w:b/>
                <w:bCs/>
                <w:sz w:val="20"/>
              </w:rPr>
            </w:pPr>
            <w:r>
              <w:rPr>
                <w:rFonts w:hint="eastAsia" w:ascii="仿宋" w:hAnsi="仿宋" w:eastAsia="仿宋" w:cs="仿宋"/>
                <w:b/>
                <w:bCs/>
                <w:sz w:val="20"/>
              </w:rPr>
              <w:t>履约能力</w:t>
            </w:r>
          </w:p>
        </w:tc>
        <w:tc>
          <w:tcPr>
            <w:tcW w:w="556" w:type="dxa"/>
            <w:shd w:val="clear" w:color="000000" w:fill="auto"/>
            <w:noWrap/>
            <w:vAlign w:val="center"/>
          </w:tcPr>
          <w:p w14:paraId="015B9C19">
            <w:pPr>
              <w:jc w:val="center"/>
              <w:rPr>
                <w:rFonts w:hint="eastAsia" w:ascii="仿宋" w:hAnsi="仿宋" w:eastAsia="仿宋" w:cs="仿宋"/>
                <w:b/>
                <w:bCs/>
                <w:sz w:val="20"/>
              </w:rPr>
            </w:pPr>
            <w:r>
              <w:rPr>
                <w:rFonts w:ascii="仿宋" w:hAnsi="仿宋" w:eastAsia="仿宋" w:cs="仿宋"/>
                <w:sz w:val="20"/>
              </w:rPr>
              <w:t>6</w:t>
            </w:r>
          </w:p>
        </w:tc>
        <w:tc>
          <w:tcPr>
            <w:tcW w:w="5670" w:type="dxa"/>
            <w:shd w:val="clear" w:color="000000" w:fill="auto"/>
            <w:noWrap/>
            <w:vAlign w:val="center"/>
          </w:tcPr>
          <w:p w14:paraId="2D23A413">
            <w:pPr>
              <w:rPr>
                <w:rFonts w:hint="eastAsia" w:ascii="仿宋" w:hAnsi="仿宋" w:eastAsia="仿宋" w:cs="仿宋"/>
                <w:kern w:val="0"/>
                <w:sz w:val="20"/>
              </w:rPr>
            </w:pPr>
            <w:r>
              <w:rPr>
                <w:rFonts w:hint="eastAsia" w:ascii="仿宋" w:hAnsi="仿宋" w:eastAsia="仿宋" w:cs="仿宋"/>
                <w:kern w:val="0"/>
                <w:sz w:val="20"/>
              </w:rPr>
              <w:t>承诺30个工作日内可完成产品到货的，得</w:t>
            </w:r>
            <w:r>
              <w:rPr>
                <w:rFonts w:ascii="仿宋" w:hAnsi="仿宋" w:eastAsia="仿宋" w:cs="仿宋"/>
                <w:kern w:val="0"/>
                <w:sz w:val="20"/>
              </w:rPr>
              <w:t>3</w:t>
            </w:r>
            <w:r>
              <w:rPr>
                <w:rFonts w:hint="eastAsia" w:ascii="仿宋" w:hAnsi="仿宋" w:eastAsia="仿宋" w:cs="仿宋"/>
                <w:kern w:val="0"/>
                <w:sz w:val="20"/>
              </w:rPr>
              <w:t>分；</w:t>
            </w:r>
          </w:p>
          <w:p w14:paraId="261E2836">
            <w:pPr>
              <w:rPr>
                <w:rFonts w:hint="eastAsia" w:ascii="仿宋" w:hAnsi="仿宋" w:eastAsia="仿宋" w:cs="仿宋"/>
                <w:kern w:val="0"/>
                <w:sz w:val="20"/>
              </w:rPr>
            </w:pPr>
            <w:r>
              <w:rPr>
                <w:rFonts w:hint="eastAsia" w:ascii="仿宋" w:hAnsi="仿宋" w:eastAsia="仿宋" w:cs="仿宋"/>
                <w:kern w:val="0"/>
                <w:sz w:val="20"/>
              </w:rPr>
              <w:t>每提前2个工作日内可完成产品到货的，加1分，最高</w:t>
            </w:r>
            <w:r>
              <w:rPr>
                <w:rFonts w:ascii="仿宋" w:hAnsi="仿宋" w:eastAsia="仿宋" w:cs="仿宋"/>
                <w:kern w:val="0"/>
                <w:sz w:val="20"/>
              </w:rPr>
              <w:t>3</w:t>
            </w:r>
            <w:r>
              <w:rPr>
                <w:rFonts w:hint="eastAsia" w:ascii="仿宋" w:hAnsi="仿宋" w:eastAsia="仿宋" w:cs="仿宋"/>
                <w:kern w:val="0"/>
                <w:sz w:val="20"/>
              </w:rPr>
              <w:t>分；</w:t>
            </w:r>
          </w:p>
          <w:p w14:paraId="43BF2C1F">
            <w:pPr>
              <w:rPr>
                <w:rFonts w:hint="eastAsia" w:ascii="仿宋" w:hAnsi="仿宋" w:eastAsia="仿宋" w:cs="仿宋"/>
                <w:color w:val="000000"/>
                <w:kern w:val="0"/>
                <w:sz w:val="20"/>
                <w:lang w:bidi="ar"/>
              </w:rPr>
            </w:pPr>
            <w:r>
              <w:rPr>
                <w:rFonts w:hint="eastAsia" w:ascii="仿宋" w:hAnsi="仿宋" w:eastAsia="仿宋" w:cs="仿宋"/>
                <w:kern w:val="0"/>
                <w:sz w:val="20"/>
              </w:rPr>
              <w:t>本项最高得</w:t>
            </w:r>
            <w:r>
              <w:rPr>
                <w:rFonts w:ascii="仿宋" w:hAnsi="仿宋" w:eastAsia="仿宋" w:cs="仿宋"/>
                <w:kern w:val="0"/>
                <w:sz w:val="20"/>
              </w:rPr>
              <w:t>6</w:t>
            </w:r>
            <w:r>
              <w:rPr>
                <w:rFonts w:hint="eastAsia" w:ascii="仿宋" w:hAnsi="仿宋" w:eastAsia="仿宋" w:cs="仿宋"/>
                <w:kern w:val="0"/>
                <w:sz w:val="20"/>
              </w:rPr>
              <w:t>分。</w:t>
            </w:r>
          </w:p>
        </w:tc>
        <w:tc>
          <w:tcPr>
            <w:tcW w:w="2846" w:type="dxa"/>
            <w:shd w:val="clear" w:color="000000" w:fill="auto"/>
            <w:noWrap/>
            <w:vAlign w:val="center"/>
          </w:tcPr>
          <w:p w14:paraId="36B0DFBA">
            <w:pPr>
              <w:jc w:val="center"/>
              <w:rPr>
                <w:rFonts w:hint="eastAsia" w:ascii="仿宋" w:hAnsi="仿宋" w:eastAsia="仿宋" w:cs="仿宋"/>
                <w:kern w:val="0"/>
                <w:sz w:val="20"/>
              </w:rPr>
            </w:pPr>
            <w:r>
              <w:rPr>
                <w:rFonts w:hint="eastAsia" w:ascii="仿宋" w:hAnsi="仿宋" w:eastAsia="仿宋" w:cs="仿宋"/>
                <w:kern w:val="0"/>
                <w:sz w:val="20"/>
              </w:rPr>
              <w:t>提供承诺函</w:t>
            </w:r>
          </w:p>
        </w:tc>
      </w:tr>
      <w:tr w14:paraId="4276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274" w:type="dxa"/>
            <w:gridSpan w:val="2"/>
            <w:shd w:val="clear" w:color="000000" w:fill="auto"/>
            <w:noWrap/>
            <w:vAlign w:val="center"/>
          </w:tcPr>
          <w:p w14:paraId="11479CF6">
            <w:pPr>
              <w:jc w:val="center"/>
              <w:rPr>
                <w:rFonts w:hint="eastAsia" w:ascii="仿宋" w:hAnsi="仿宋" w:eastAsia="仿宋" w:cs="仿宋"/>
                <w:b/>
                <w:bCs/>
                <w:sz w:val="20"/>
              </w:rPr>
            </w:pPr>
            <w:r>
              <w:rPr>
                <w:rFonts w:hint="eastAsia" w:ascii="仿宋" w:hAnsi="仿宋" w:eastAsia="仿宋" w:cs="仿宋"/>
                <w:b/>
                <w:bCs/>
                <w:sz w:val="20"/>
              </w:rPr>
              <w:t>合计</w:t>
            </w:r>
          </w:p>
        </w:tc>
        <w:tc>
          <w:tcPr>
            <w:tcW w:w="556" w:type="dxa"/>
            <w:shd w:val="clear" w:color="000000" w:fill="auto"/>
            <w:noWrap/>
            <w:vAlign w:val="center"/>
          </w:tcPr>
          <w:p w14:paraId="0FBE736A">
            <w:pPr>
              <w:jc w:val="center"/>
              <w:rPr>
                <w:rFonts w:hint="eastAsia" w:ascii="仿宋" w:hAnsi="仿宋" w:eastAsia="仿宋" w:cs="仿宋"/>
                <w:b/>
                <w:bCs/>
                <w:sz w:val="20"/>
              </w:rPr>
            </w:pPr>
            <w:r>
              <w:rPr>
                <w:rFonts w:hint="eastAsia" w:ascii="仿宋" w:hAnsi="仿宋" w:eastAsia="仿宋" w:cs="仿宋"/>
                <w:b/>
                <w:bCs/>
                <w:sz w:val="20"/>
              </w:rPr>
              <w:t>100</w:t>
            </w:r>
          </w:p>
        </w:tc>
        <w:tc>
          <w:tcPr>
            <w:tcW w:w="5670" w:type="dxa"/>
            <w:shd w:val="clear" w:color="000000" w:fill="auto"/>
            <w:noWrap/>
            <w:vAlign w:val="center"/>
          </w:tcPr>
          <w:p w14:paraId="61CC7D30">
            <w:pPr>
              <w:jc w:val="center"/>
              <w:rPr>
                <w:rFonts w:hint="eastAsia" w:ascii="仿宋" w:hAnsi="仿宋" w:eastAsia="仿宋" w:cs="仿宋"/>
                <w:b/>
                <w:bCs/>
                <w:sz w:val="20"/>
              </w:rPr>
            </w:pPr>
          </w:p>
        </w:tc>
        <w:tc>
          <w:tcPr>
            <w:tcW w:w="2846" w:type="dxa"/>
            <w:shd w:val="clear" w:color="000000" w:fill="auto"/>
            <w:noWrap/>
            <w:vAlign w:val="center"/>
          </w:tcPr>
          <w:p w14:paraId="72059478">
            <w:pPr>
              <w:jc w:val="center"/>
              <w:rPr>
                <w:rFonts w:hint="eastAsia" w:ascii="仿宋" w:hAnsi="仿宋" w:eastAsia="仿宋" w:cs="仿宋"/>
                <w:b/>
                <w:bCs/>
                <w:sz w:val="20"/>
              </w:rPr>
            </w:pPr>
          </w:p>
        </w:tc>
      </w:tr>
    </w:tbl>
    <w:p w14:paraId="0B29C31B">
      <w:pPr>
        <w:spacing w:line="360" w:lineRule="auto"/>
        <w:rPr>
          <w:rFonts w:hint="eastAsia" w:ascii="仿宋" w:hAnsi="仿宋" w:eastAsia="仿宋"/>
          <w:sz w:val="32"/>
          <w:szCs w:val="32"/>
        </w:rPr>
      </w:pPr>
    </w:p>
    <w:sectPr>
      <w:footerReference r:id="rId3" w:type="default"/>
      <w:pgSz w:w="11906" w:h="16838"/>
      <w:pgMar w:top="1134" w:right="1706"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8F91D">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23E9A0B5">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32"/>
        </w:tabs>
        <w:ind w:left="432" w:hanging="432"/>
      </w:pPr>
      <w:rPr>
        <w:rFonts w:hint="eastAsia"/>
      </w:rPr>
    </w:lvl>
    <w:lvl w:ilvl="1" w:tentative="0">
      <w:start w:val="1"/>
      <w:numFmt w:val="decimal"/>
      <w:pStyle w:val="6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053208E"/>
    <w:multiLevelType w:val="multilevel"/>
    <w:tmpl w:val="0053208E"/>
    <w:lvl w:ilvl="0" w:tentative="0">
      <w:start w:val="1"/>
      <w:numFmt w:val="decimal"/>
      <w:pStyle w:val="2"/>
      <w:suff w:val="nothing"/>
      <w:lvlText w:val="%1、"/>
      <w:lvlJc w:val="left"/>
      <w:pPr>
        <w:ind w:left="0" w:firstLine="0"/>
      </w:pPr>
      <w:rPr>
        <w:rFonts w:hint="default" w:ascii="Times New Roman" w:hAnsi="Times New Roman" w:eastAsia="黑体"/>
        <w:b w:val="0"/>
        <w:i w:val="0"/>
        <w:sz w:val="28"/>
      </w:rPr>
    </w:lvl>
    <w:lvl w:ilvl="1" w:tentative="0">
      <w:start w:val="1"/>
      <w:numFmt w:val="decimal"/>
      <w:pStyle w:val="3"/>
      <w:suff w:val="nothing"/>
      <w:lvlText w:val="%1.%2"/>
      <w:lvlJc w:val="left"/>
      <w:pPr>
        <w:ind w:left="0" w:firstLine="0"/>
      </w:pPr>
      <w:rPr>
        <w:rFonts w:hint="default" w:ascii="Times New Roman" w:hAnsi="Times New Roman" w:eastAsia="黑体"/>
        <w:b w:val="0"/>
        <w:i w:val="0"/>
        <w:sz w:val="24"/>
      </w:rPr>
    </w:lvl>
    <w:lvl w:ilvl="2" w:tentative="0">
      <w:start w:val="1"/>
      <w:numFmt w:val="decimal"/>
      <w:pStyle w:val="4"/>
      <w:suff w:val="nothing"/>
      <w:lvlText w:val="%1.%2.%3"/>
      <w:lvlJc w:val="left"/>
      <w:pPr>
        <w:ind w:left="-49" w:firstLine="289"/>
      </w:pPr>
      <w:rPr>
        <w:rFonts w:hint="default" w:ascii="Times New Roman" w:hAnsi="Times New Roman" w:eastAsia="黑体"/>
        <w:sz w:val="24"/>
      </w:rPr>
    </w:lvl>
    <w:lvl w:ilvl="3" w:tentative="0">
      <w:start w:val="1"/>
      <w:numFmt w:val="decimal"/>
      <w:pStyle w:val="5"/>
      <w:suff w:val="nothing"/>
      <w:lvlText w:val="%1.%2.%3.%4"/>
      <w:lvlJc w:val="left"/>
      <w:pPr>
        <w:ind w:left="0" w:firstLine="289"/>
      </w:pPr>
      <w:rPr>
        <w:rFonts w:hint="default" w:ascii="Times New Roman" w:hAnsi="Times New Roman" w:eastAsia="黑体"/>
        <w:sz w:val="24"/>
      </w:rPr>
    </w:lvl>
    <w:lvl w:ilvl="4" w:tentative="0">
      <w:start w:val="1"/>
      <w:numFmt w:val="decimal"/>
      <w:lvlText w:val="%1.%2.%3.%4.%5"/>
      <w:lvlJc w:val="left"/>
      <w:pPr>
        <w:tabs>
          <w:tab w:val="left" w:pos="3261"/>
        </w:tabs>
        <w:ind w:left="2671" w:hanging="850"/>
      </w:pPr>
      <w:rPr>
        <w:rFonts w:hint="eastAsia"/>
      </w:rPr>
    </w:lvl>
    <w:lvl w:ilvl="5" w:tentative="0">
      <w:start w:val="1"/>
      <w:numFmt w:val="decimal"/>
      <w:lvlText w:val="%1.%2.%3.%4.%5.%6"/>
      <w:lvlJc w:val="left"/>
      <w:pPr>
        <w:tabs>
          <w:tab w:val="left" w:pos="4046"/>
        </w:tabs>
        <w:ind w:left="3380" w:hanging="1134"/>
      </w:pPr>
      <w:rPr>
        <w:rFonts w:hint="eastAsia"/>
      </w:rPr>
    </w:lvl>
    <w:lvl w:ilvl="6" w:tentative="0">
      <w:start w:val="1"/>
      <w:numFmt w:val="decimal"/>
      <w:lvlText w:val="%1.%2.%3.%4.%5.%6.%7"/>
      <w:lvlJc w:val="left"/>
      <w:pPr>
        <w:tabs>
          <w:tab w:val="left" w:pos="4471"/>
        </w:tabs>
        <w:ind w:left="3947" w:hanging="1276"/>
      </w:pPr>
      <w:rPr>
        <w:rFonts w:hint="eastAsia"/>
      </w:rPr>
    </w:lvl>
    <w:lvl w:ilvl="7" w:tentative="0">
      <w:start w:val="1"/>
      <w:numFmt w:val="decimal"/>
      <w:lvlText w:val="%1.%2.%3.%4.%5.%6.%7.%8"/>
      <w:lvlJc w:val="left"/>
      <w:pPr>
        <w:tabs>
          <w:tab w:val="left" w:pos="5256"/>
        </w:tabs>
        <w:ind w:left="4514" w:hanging="1418"/>
      </w:pPr>
      <w:rPr>
        <w:rFonts w:hint="eastAsia"/>
      </w:rPr>
    </w:lvl>
    <w:lvl w:ilvl="8" w:tentative="0">
      <w:start w:val="1"/>
      <w:numFmt w:val="decimal"/>
      <w:lvlText w:val="%1.%2.%3.%4.%5.%6.%7.%8.%9"/>
      <w:lvlJc w:val="left"/>
      <w:pPr>
        <w:tabs>
          <w:tab w:val="left" w:pos="6042"/>
        </w:tabs>
        <w:ind w:left="522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89"/>
    <w:rsid w:val="0000438C"/>
    <w:rsid w:val="0001114E"/>
    <w:rsid w:val="00047500"/>
    <w:rsid w:val="00054B96"/>
    <w:rsid w:val="00066557"/>
    <w:rsid w:val="000A2BE6"/>
    <w:rsid w:val="000F17C2"/>
    <w:rsid w:val="00107735"/>
    <w:rsid w:val="00164CB5"/>
    <w:rsid w:val="0018255E"/>
    <w:rsid w:val="001D7990"/>
    <w:rsid w:val="00222011"/>
    <w:rsid w:val="0022350D"/>
    <w:rsid w:val="002B2CD0"/>
    <w:rsid w:val="002F7527"/>
    <w:rsid w:val="00315DC4"/>
    <w:rsid w:val="003200F2"/>
    <w:rsid w:val="00321A89"/>
    <w:rsid w:val="00333BFC"/>
    <w:rsid w:val="003853C0"/>
    <w:rsid w:val="003B735E"/>
    <w:rsid w:val="003E270A"/>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C16C2"/>
    <w:rsid w:val="008D1F07"/>
    <w:rsid w:val="00916F7E"/>
    <w:rsid w:val="00942A2A"/>
    <w:rsid w:val="00967FC4"/>
    <w:rsid w:val="009C2B2C"/>
    <w:rsid w:val="009E2375"/>
    <w:rsid w:val="00A45135"/>
    <w:rsid w:val="00A550C1"/>
    <w:rsid w:val="00A85E89"/>
    <w:rsid w:val="00B02E2D"/>
    <w:rsid w:val="00B210F9"/>
    <w:rsid w:val="00B626D8"/>
    <w:rsid w:val="00B848C5"/>
    <w:rsid w:val="00C0434B"/>
    <w:rsid w:val="00C62032"/>
    <w:rsid w:val="00C84B61"/>
    <w:rsid w:val="00CD191C"/>
    <w:rsid w:val="00CD2EA2"/>
    <w:rsid w:val="00D57DDF"/>
    <w:rsid w:val="00D83B3B"/>
    <w:rsid w:val="00DB6A32"/>
    <w:rsid w:val="00DD3109"/>
    <w:rsid w:val="00E04999"/>
    <w:rsid w:val="00E11E10"/>
    <w:rsid w:val="00E21CBD"/>
    <w:rsid w:val="00EB4186"/>
    <w:rsid w:val="00EF1B8B"/>
    <w:rsid w:val="00F166E6"/>
    <w:rsid w:val="00F665DA"/>
    <w:rsid w:val="00F75ECF"/>
    <w:rsid w:val="00FA42D3"/>
    <w:rsid w:val="00FB77CD"/>
    <w:rsid w:val="00FD0025"/>
    <w:rsid w:val="00FE3949"/>
    <w:rsid w:val="01050C3C"/>
    <w:rsid w:val="01580F95"/>
    <w:rsid w:val="021148A8"/>
    <w:rsid w:val="023F3714"/>
    <w:rsid w:val="03433F84"/>
    <w:rsid w:val="0355497F"/>
    <w:rsid w:val="03991DF6"/>
    <w:rsid w:val="03BB0C98"/>
    <w:rsid w:val="03BB642D"/>
    <w:rsid w:val="03CA1FAF"/>
    <w:rsid w:val="040816EE"/>
    <w:rsid w:val="0483483A"/>
    <w:rsid w:val="04D91922"/>
    <w:rsid w:val="04EB042F"/>
    <w:rsid w:val="050634BB"/>
    <w:rsid w:val="05335E16"/>
    <w:rsid w:val="055B41EB"/>
    <w:rsid w:val="055F4BD0"/>
    <w:rsid w:val="05B72A07"/>
    <w:rsid w:val="060101C2"/>
    <w:rsid w:val="0624009C"/>
    <w:rsid w:val="066F433A"/>
    <w:rsid w:val="070B145B"/>
    <w:rsid w:val="07153E89"/>
    <w:rsid w:val="072705C8"/>
    <w:rsid w:val="07577FFE"/>
    <w:rsid w:val="075C73C2"/>
    <w:rsid w:val="07660F50"/>
    <w:rsid w:val="07AB1CFC"/>
    <w:rsid w:val="080960C2"/>
    <w:rsid w:val="082C4BD8"/>
    <w:rsid w:val="083D71F3"/>
    <w:rsid w:val="087A52B2"/>
    <w:rsid w:val="08843074"/>
    <w:rsid w:val="08CD3E70"/>
    <w:rsid w:val="08E83D84"/>
    <w:rsid w:val="08FA6E92"/>
    <w:rsid w:val="090369F3"/>
    <w:rsid w:val="091D7025"/>
    <w:rsid w:val="092640C2"/>
    <w:rsid w:val="092E1232"/>
    <w:rsid w:val="094874F8"/>
    <w:rsid w:val="098F195C"/>
    <w:rsid w:val="099D69AE"/>
    <w:rsid w:val="099F5C8C"/>
    <w:rsid w:val="09E5601D"/>
    <w:rsid w:val="09F4422A"/>
    <w:rsid w:val="0A02144C"/>
    <w:rsid w:val="0B41524D"/>
    <w:rsid w:val="0B431448"/>
    <w:rsid w:val="0B5A4560"/>
    <w:rsid w:val="0B923CFA"/>
    <w:rsid w:val="0BB4198C"/>
    <w:rsid w:val="0BE46B89"/>
    <w:rsid w:val="0CD2303E"/>
    <w:rsid w:val="0CFF5294"/>
    <w:rsid w:val="0D2766C4"/>
    <w:rsid w:val="0D407D87"/>
    <w:rsid w:val="0D50757B"/>
    <w:rsid w:val="0DB8731C"/>
    <w:rsid w:val="0DE07A19"/>
    <w:rsid w:val="0DF540CC"/>
    <w:rsid w:val="0DFC36AD"/>
    <w:rsid w:val="0E06452B"/>
    <w:rsid w:val="0E49365D"/>
    <w:rsid w:val="0ED91C40"/>
    <w:rsid w:val="0EFC52B1"/>
    <w:rsid w:val="0F5D0A30"/>
    <w:rsid w:val="0F721FDA"/>
    <w:rsid w:val="0FA91612"/>
    <w:rsid w:val="0FDF0BB3"/>
    <w:rsid w:val="10247847"/>
    <w:rsid w:val="103C5D95"/>
    <w:rsid w:val="108B0D18"/>
    <w:rsid w:val="11254CC9"/>
    <w:rsid w:val="11930F13"/>
    <w:rsid w:val="11B31E87"/>
    <w:rsid w:val="12541464"/>
    <w:rsid w:val="127B729E"/>
    <w:rsid w:val="12DF3BD2"/>
    <w:rsid w:val="130B7721"/>
    <w:rsid w:val="13580607"/>
    <w:rsid w:val="137D703E"/>
    <w:rsid w:val="13B03CC1"/>
    <w:rsid w:val="13C814B1"/>
    <w:rsid w:val="14301E78"/>
    <w:rsid w:val="14567EBE"/>
    <w:rsid w:val="146B333A"/>
    <w:rsid w:val="149E4616"/>
    <w:rsid w:val="14C33176"/>
    <w:rsid w:val="14E05AD6"/>
    <w:rsid w:val="14ED01F3"/>
    <w:rsid w:val="153848C3"/>
    <w:rsid w:val="153D4AC7"/>
    <w:rsid w:val="15E0294D"/>
    <w:rsid w:val="16470C1C"/>
    <w:rsid w:val="164C45F3"/>
    <w:rsid w:val="17F559D0"/>
    <w:rsid w:val="18117E99"/>
    <w:rsid w:val="18365A0D"/>
    <w:rsid w:val="1840063A"/>
    <w:rsid w:val="18954E2A"/>
    <w:rsid w:val="18C94A68"/>
    <w:rsid w:val="19682D4F"/>
    <w:rsid w:val="198158BA"/>
    <w:rsid w:val="19C45CAA"/>
    <w:rsid w:val="1A0E074B"/>
    <w:rsid w:val="1A4563DB"/>
    <w:rsid w:val="1A631EC8"/>
    <w:rsid w:val="1A8E1B30"/>
    <w:rsid w:val="1A8F538A"/>
    <w:rsid w:val="1AC64482"/>
    <w:rsid w:val="1AEC1288"/>
    <w:rsid w:val="1B1A58C1"/>
    <w:rsid w:val="1B1D4C62"/>
    <w:rsid w:val="1B612829"/>
    <w:rsid w:val="1BE91171"/>
    <w:rsid w:val="1C037E31"/>
    <w:rsid w:val="1C2C7020"/>
    <w:rsid w:val="1C420E24"/>
    <w:rsid w:val="1CBA4E5F"/>
    <w:rsid w:val="1CCC6940"/>
    <w:rsid w:val="1D2B41AF"/>
    <w:rsid w:val="1DA14320"/>
    <w:rsid w:val="1DBDEC5E"/>
    <w:rsid w:val="1DCF66E8"/>
    <w:rsid w:val="1DDE692B"/>
    <w:rsid w:val="1E01695C"/>
    <w:rsid w:val="1E036C62"/>
    <w:rsid w:val="1E366CC6"/>
    <w:rsid w:val="1EAE09F3"/>
    <w:rsid w:val="1EDD7FFC"/>
    <w:rsid w:val="1EFF2D74"/>
    <w:rsid w:val="1FA92F69"/>
    <w:rsid w:val="1FDE0E64"/>
    <w:rsid w:val="1FFA7398"/>
    <w:rsid w:val="206C1F33"/>
    <w:rsid w:val="20745325"/>
    <w:rsid w:val="20C652B0"/>
    <w:rsid w:val="20DF30E6"/>
    <w:rsid w:val="20EF6144"/>
    <w:rsid w:val="20F070A1"/>
    <w:rsid w:val="2160548A"/>
    <w:rsid w:val="221140E7"/>
    <w:rsid w:val="22BA5490"/>
    <w:rsid w:val="22F62969"/>
    <w:rsid w:val="22F64717"/>
    <w:rsid w:val="23124716"/>
    <w:rsid w:val="23776FD6"/>
    <w:rsid w:val="239F3791"/>
    <w:rsid w:val="23D073EA"/>
    <w:rsid w:val="23F2091A"/>
    <w:rsid w:val="246062EC"/>
    <w:rsid w:val="24DD5B8E"/>
    <w:rsid w:val="24E6449D"/>
    <w:rsid w:val="24F75A1C"/>
    <w:rsid w:val="25313464"/>
    <w:rsid w:val="2587082F"/>
    <w:rsid w:val="259721E1"/>
    <w:rsid w:val="2652435A"/>
    <w:rsid w:val="267F709C"/>
    <w:rsid w:val="26E620ED"/>
    <w:rsid w:val="2714160F"/>
    <w:rsid w:val="275C0E2A"/>
    <w:rsid w:val="277707E1"/>
    <w:rsid w:val="278C4733"/>
    <w:rsid w:val="27983268"/>
    <w:rsid w:val="27B32BD6"/>
    <w:rsid w:val="27C70B67"/>
    <w:rsid w:val="28472493"/>
    <w:rsid w:val="28A569C3"/>
    <w:rsid w:val="28FB2748"/>
    <w:rsid w:val="296B7E64"/>
    <w:rsid w:val="296D7C9A"/>
    <w:rsid w:val="29AE5D4B"/>
    <w:rsid w:val="29EB5863"/>
    <w:rsid w:val="2AC670C5"/>
    <w:rsid w:val="2AE01F34"/>
    <w:rsid w:val="2AFB3BAB"/>
    <w:rsid w:val="2B2B3713"/>
    <w:rsid w:val="2B55347B"/>
    <w:rsid w:val="2B920D55"/>
    <w:rsid w:val="2C114742"/>
    <w:rsid w:val="2CDE03EA"/>
    <w:rsid w:val="2D1C2B24"/>
    <w:rsid w:val="2D477EDA"/>
    <w:rsid w:val="2DA60FDE"/>
    <w:rsid w:val="2DD02CED"/>
    <w:rsid w:val="2DD1025A"/>
    <w:rsid w:val="2DE01F17"/>
    <w:rsid w:val="2E0C1292"/>
    <w:rsid w:val="2E3B0CA9"/>
    <w:rsid w:val="2E68250F"/>
    <w:rsid w:val="2EC102CF"/>
    <w:rsid w:val="2EDA51AB"/>
    <w:rsid w:val="2F4A27CA"/>
    <w:rsid w:val="2F6F2CEB"/>
    <w:rsid w:val="2F776BDF"/>
    <w:rsid w:val="2FAC4ADB"/>
    <w:rsid w:val="2FC324F5"/>
    <w:rsid w:val="2FD656B4"/>
    <w:rsid w:val="2FF67EF8"/>
    <w:rsid w:val="302B0468"/>
    <w:rsid w:val="304B0D10"/>
    <w:rsid w:val="30601681"/>
    <w:rsid w:val="309317F7"/>
    <w:rsid w:val="30955C68"/>
    <w:rsid w:val="30B944F1"/>
    <w:rsid w:val="30C916BD"/>
    <w:rsid w:val="312F7772"/>
    <w:rsid w:val="3144A1DB"/>
    <w:rsid w:val="3150593A"/>
    <w:rsid w:val="327C4461"/>
    <w:rsid w:val="32C01287"/>
    <w:rsid w:val="32D61E6F"/>
    <w:rsid w:val="336254B1"/>
    <w:rsid w:val="33AC25F0"/>
    <w:rsid w:val="33CF1E43"/>
    <w:rsid w:val="33E93B89"/>
    <w:rsid w:val="34046622"/>
    <w:rsid w:val="35170C48"/>
    <w:rsid w:val="3589541E"/>
    <w:rsid w:val="359D0A22"/>
    <w:rsid w:val="35AA5EFA"/>
    <w:rsid w:val="363F76E9"/>
    <w:rsid w:val="368C2F70"/>
    <w:rsid w:val="36BE4478"/>
    <w:rsid w:val="372E37CF"/>
    <w:rsid w:val="37633FCB"/>
    <w:rsid w:val="384E6D78"/>
    <w:rsid w:val="38547ABE"/>
    <w:rsid w:val="38894E1C"/>
    <w:rsid w:val="389A5B46"/>
    <w:rsid w:val="389C1E13"/>
    <w:rsid w:val="38CF5396"/>
    <w:rsid w:val="38FD63A7"/>
    <w:rsid w:val="39050DB8"/>
    <w:rsid w:val="3915477F"/>
    <w:rsid w:val="393022D9"/>
    <w:rsid w:val="393901BB"/>
    <w:rsid w:val="398F6612"/>
    <w:rsid w:val="39B21119"/>
    <w:rsid w:val="3A5B15D7"/>
    <w:rsid w:val="3A682D03"/>
    <w:rsid w:val="3A775CE5"/>
    <w:rsid w:val="3A7C4588"/>
    <w:rsid w:val="3AC33322"/>
    <w:rsid w:val="3AFB82B8"/>
    <w:rsid w:val="3B315089"/>
    <w:rsid w:val="3C2D0CE8"/>
    <w:rsid w:val="3C835EBA"/>
    <w:rsid w:val="3CC80A7A"/>
    <w:rsid w:val="3CEB5F4E"/>
    <w:rsid w:val="3CF3A14A"/>
    <w:rsid w:val="3D6EE216"/>
    <w:rsid w:val="3DB147C3"/>
    <w:rsid w:val="3DBFFE9E"/>
    <w:rsid w:val="3DFA22D6"/>
    <w:rsid w:val="3E57068D"/>
    <w:rsid w:val="3E772B2E"/>
    <w:rsid w:val="3E805434"/>
    <w:rsid w:val="3E88226F"/>
    <w:rsid w:val="3EB66B30"/>
    <w:rsid w:val="3EC417E6"/>
    <w:rsid w:val="3EFC1CAF"/>
    <w:rsid w:val="3FA23C1F"/>
    <w:rsid w:val="3FC656D4"/>
    <w:rsid w:val="3FDD2A8F"/>
    <w:rsid w:val="3FFB0A1E"/>
    <w:rsid w:val="3FFDA812"/>
    <w:rsid w:val="40750F19"/>
    <w:rsid w:val="40891257"/>
    <w:rsid w:val="409A4CBF"/>
    <w:rsid w:val="41076015"/>
    <w:rsid w:val="418C651A"/>
    <w:rsid w:val="426138DE"/>
    <w:rsid w:val="42F30B4C"/>
    <w:rsid w:val="430B03A5"/>
    <w:rsid w:val="432B3B11"/>
    <w:rsid w:val="432D1637"/>
    <w:rsid w:val="433E3844"/>
    <w:rsid w:val="43C71A8C"/>
    <w:rsid w:val="43D917BF"/>
    <w:rsid w:val="44494618"/>
    <w:rsid w:val="4456346E"/>
    <w:rsid w:val="446E1F07"/>
    <w:rsid w:val="44EC47B2"/>
    <w:rsid w:val="44EF1E78"/>
    <w:rsid w:val="453C2EC0"/>
    <w:rsid w:val="454676EB"/>
    <w:rsid w:val="45617CBE"/>
    <w:rsid w:val="456652D4"/>
    <w:rsid w:val="467852BF"/>
    <w:rsid w:val="46B01873"/>
    <w:rsid w:val="47283EBB"/>
    <w:rsid w:val="472D7E58"/>
    <w:rsid w:val="47794E4B"/>
    <w:rsid w:val="477F2A78"/>
    <w:rsid w:val="478A5E98"/>
    <w:rsid w:val="47FF6A97"/>
    <w:rsid w:val="48016B0C"/>
    <w:rsid w:val="481D433B"/>
    <w:rsid w:val="48240951"/>
    <w:rsid w:val="484710ED"/>
    <w:rsid w:val="484E0B1F"/>
    <w:rsid w:val="486075CF"/>
    <w:rsid w:val="4890743F"/>
    <w:rsid w:val="491976DE"/>
    <w:rsid w:val="496B4447"/>
    <w:rsid w:val="49960B56"/>
    <w:rsid w:val="49FDD142"/>
    <w:rsid w:val="4A2149D2"/>
    <w:rsid w:val="4A2E6AA3"/>
    <w:rsid w:val="4A3459A1"/>
    <w:rsid w:val="4A4A3A61"/>
    <w:rsid w:val="4A560724"/>
    <w:rsid w:val="4A9A0FD6"/>
    <w:rsid w:val="4AEB7B23"/>
    <w:rsid w:val="4B8D4635"/>
    <w:rsid w:val="4B9E1376"/>
    <w:rsid w:val="4BC62629"/>
    <w:rsid w:val="4BEBA7DB"/>
    <w:rsid w:val="4BF83C8E"/>
    <w:rsid w:val="4BF929FE"/>
    <w:rsid w:val="4C694FE0"/>
    <w:rsid w:val="4C7E259C"/>
    <w:rsid w:val="4C9B3AB5"/>
    <w:rsid w:val="4CCB0FE1"/>
    <w:rsid w:val="4CF90F82"/>
    <w:rsid w:val="4D45024D"/>
    <w:rsid w:val="4D645B85"/>
    <w:rsid w:val="4DC4528E"/>
    <w:rsid w:val="4E4D7031"/>
    <w:rsid w:val="4E6FE2BE"/>
    <w:rsid w:val="4E961523"/>
    <w:rsid w:val="4E992277"/>
    <w:rsid w:val="4EB44C0B"/>
    <w:rsid w:val="4EB96475"/>
    <w:rsid w:val="4EE5726A"/>
    <w:rsid w:val="4F4A36BE"/>
    <w:rsid w:val="4F59664B"/>
    <w:rsid w:val="4F625D9C"/>
    <w:rsid w:val="4F826147"/>
    <w:rsid w:val="4FBC0DBE"/>
    <w:rsid w:val="4FD09304"/>
    <w:rsid w:val="4FF9C0C7"/>
    <w:rsid w:val="5038161B"/>
    <w:rsid w:val="503C7D20"/>
    <w:rsid w:val="507E08BE"/>
    <w:rsid w:val="509C305B"/>
    <w:rsid w:val="50BF628A"/>
    <w:rsid w:val="51256043"/>
    <w:rsid w:val="512D6CA6"/>
    <w:rsid w:val="5183422E"/>
    <w:rsid w:val="518E5997"/>
    <w:rsid w:val="51A75608"/>
    <w:rsid w:val="51E71B9C"/>
    <w:rsid w:val="52CB0C33"/>
    <w:rsid w:val="52E15F9A"/>
    <w:rsid w:val="52ED0DE3"/>
    <w:rsid w:val="5311062D"/>
    <w:rsid w:val="53191BD8"/>
    <w:rsid w:val="533EBA0A"/>
    <w:rsid w:val="53623E3C"/>
    <w:rsid w:val="536C2B3A"/>
    <w:rsid w:val="5397348D"/>
    <w:rsid w:val="53E2646E"/>
    <w:rsid w:val="547D1CF3"/>
    <w:rsid w:val="548B08B3"/>
    <w:rsid w:val="54F55187"/>
    <w:rsid w:val="54F86535"/>
    <w:rsid w:val="553D7EF1"/>
    <w:rsid w:val="55524CCF"/>
    <w:rsid w:val="55BC52DB"/>
    <w:rsid w:val="55C2758A"/>
    <w:rsid w:val="55E53FF3"/>
    <w:rsid w:val="55E9A4DB"/>
    <w:rsid w:val="55F970CB"/>
    <w:rsid w:val="56143219"/>
    <w:rsid w:val="56171D69"/>
    <w:rsid w:val="562425EC"/>
    <w:rsid w:val="564162D0"/>
    <w:rsid w:val="566E1172"/>
    <w:rsid w:val="56CE635E"/>
    <w:rsid w:val="56DF0E32"/>
    <w:rsid w:val="56E878F7"/>
    <w:rsid w:val="56FD4815"/>
    <w:rsid w:val="57178AF6"/>
    <w:rsid w:val="571A35CB"/>
    <w:rsid w:val="571B5F1F"/>
    <w:rsid w:val="574C432A"/>
    <w:rsid w:val="57725959"/>
    <w:rsid w:val="57FEAAA4"/>
    <w:rsid w:val="581117EB"/>
    <w:rsid w:val="582EDB82"/>
    <w:rsid w:val="58A40D2B"/>
    <w:rsid w:val="590F4708"/>
    <w:rsid w:val="591470C9"/>
    <w:rsid w:val="59AD307A"/>
    <w:rsid w:val="59AD3B5F"/>
    <w:rsid w:val="59C74CE3"/>
    <w:rsid w:val="5A1F3728"/>
    <w:rsid w:val="5A217302"/>
    <w:rsid w:val="5A4A360C"/>
    <w:rsid w:val="5A5A0B0C"/>
    <w:rsid w:val="5A691F78"/>
    <w:rsid w:val="5AA224B3"/>
    <w:rsid w:val="5AAE67B8"/>
    <w:rsid w:val="5ADB1DB8"/>
    <w:rsid w:val="5BA13276"/>
    <w:rsid w:val="5BBFB6F0"/>
    <w:rsid w:val="5BE2700B"/>
    <w:rsid w:val="5BEF5489"/>
    <w:rsid w:val="5BFDAE5F"/>
    <w:rsid w:val="5C8A46F6"/>
    <w:rsid w:val="5C9918CB"/>
    <w:rsid w:val="5CCD1511"/>
    <w:rsid w:val="5CCF4218"/>
    <w:rsid w:val="5CDB111B"/>
    <w:rsid w:val="5CDFA6F5"/>
    <w:rsid w:val="5CE2303B"/>
    <w:rsid w:val="5D102E8E"/>
    <w:rsid w:val="5D213158"/>
    <w:rsid w:val="5D302299"/>
    <w:rsid w:val="5D7A1978"/>
    <w:rsid w:val="5DAF5613"/>
    <w:rsid w:val="5E0232A9"/>
    <w:rsid w:val="5E251431"/>
    <w:rsid w:val="5E7339E6"/>
    <w:rsid w:val="5EAC6109"/>
    <w:rsid w:val="5EAF42A5"/>
    <w:rsid w:val="5ED16751"/>
    <w:rsid w:val="5EFE343C"/>
    <w:rsid w:val="5F0B1686"/>
    <w:rsid w:val="5FCF40CD"/>
    <w:rsid w:val="5FF46743"/>
    <w:rsid w:val="60121E89"/>
    <w:rsid w:val="60430294"/>
    <w:rsid w:val="608D3EAD"/>
    <w:rsid w:val="60CA216B"/>
    <w:rsid w:val="615D57CF"/>
    <w:rsid w:val="616E4FD4"/>
    <w:rsid w:val="617565F6"/>
    <w:rsid w:val="61D46A82"/>
    <w:rsid w:val="61E51C2C"/>
    <w:rsid w:val="62456545"/>
    <w:rsid w:val="627B46FE"/>
    <w:rsid w:val="628D57F7"/>
    <w:rsid w:val="62AC2121"/>
    <w:rsid w:val="62B80AC5"/>
    <w:rsid w:val="62D6719E"/>
    <w:rsid w:val="62EC4C13"/>
    <w:rsid w:val="63666773"/>
    <w:rsid w:val="63676457"/>
    <w:rsid w:val="64283557"/>
    <w:rsid w:val="647E7AED"/>
    <w:rsid w:val="64A36AC6"/>
    <w:rsid w:val="64E16202"/>
    <w:rsid w:val="64EB27AF"/>
    <w:rsid w:val="651E0006"/>
    <w:rsid w:val="66417024"/>
    <w:rsid w:val="668A09CB"/>
    <w:rsid w:val="669A52A0"/>
    <w:rsid w:val="669FAAD3"/>
    <w:rsid w:val="66BD6B7E"/>
    <w:rsid w:val="67133ED6"/>
    <w:rsid w:val="673B3A73"/>
    <w:rsid w:val="676C6D60"/>
    <w:rsid w:val="6827623E"/>
    <w:rsid w:val="68444BA9"/>
    <w:rsid w:val="6864524C"/>
    <w:rsid w:val="689720E1"/>
    <w:rsid w:val="68A8029D"/>
    <w:rsid w:val="68B47F81"/>
    <w:rsid w:val="68F121E3"/>
    <w:rsid w:val="68FA7246"/>
    <w:rsid w:val="691C1682"/>
    <w:rsid w:val="693057F4"/>
    <w:rsid w:val="695824C3"/>
    <w:rsid w:val="697D4817"/>
    <w:rsid w:val="69846EF1"/>
    <w:rsid w:val="69A86534"/>
    <w:rsid w:val="69ED7AE8"/>
    <w:rsid w:val="69F40DAA"/>
    <w:rsid w:val="69FFBB91"/>
    <w:rsid w:val="6A18009C"/>
    <w:rsid w:val="6A4315BC"/>
    <w:rsid w:val="6A5E5483"/>
    <w:rsid w:val="6A8C42A6"/>
    <w:rsid w:val="6ACC5787"/>
    <w:rsid w:val="6B1E5B86"/>
    <w:rsid w:val="6B421874"/>
    <w:rsid w:val="6B621F16"/>
    <w:rsid w:val="6B7B2FD8"/>
    <w:rsid w:val="6B915AF3"/>
    <w:rsid w:val="6BFF048F"/>
    <w:rsid w:val="6C411B2C"/>
    <w:rsid w:val="6C5D448C"/>
    <w:rsid w:val="6C897247"/>
    <w:rsid w:val="6C963430"/>
    <w:rsid w:val="6CA015DA"/>
    <w:rsid w:val="6CC26A8C"/>
    <w:rsid w:val="6CC93D05"/>
    <w:rsid w:val="6D12171A"/>
    <w:rsid w:val="6D3FA032"/>
    <w:rsid w:val="6D53175B"/>
    <w:rsid w:val="6D9C6947"/>
    <w:rsid w:val="6DAB7FF2"/>
    <w:rsid w:val="6DE11246"/>
    <w:rsid w:val="6E031CBC"/>
    <w:rsid w:val="6E5D72E6"/>
    <w:rsid w:val="6E667E5D"/>
    <w:rsid w:val="6EF70BC7"/>
    <w:rsid w:val="6F1C7C44"/>
    <w:rsid w:val="6F28515D"/>
    <w:rsid w:val="6F502086"/>
    <w:rsid w:val="6FBFB415"/>
    <w:rsid w:val="6FF2313D"/>
    <w:rsid w:val="704174B9"/>
    <w:rsid w:val="706758D9"/>
    <w:rsid w:val="70D519D3"/>
    <w:rsid w:val="715A7642"/>
    <w:rsid w:val="71DC40A5"/>
    <w:rsid w:val="71EFEC25"/>
    <w:rsid w:val="721D6FF6"/>
    <w:rsid w:val="72625C9A"/>
    <w:rsid w:val="726F6CC7"/>
    <w:rsid w:val="728974C3"/>
    <w:rsid w:val="72972A0F"/>
    <w:rsid w:val="72AB3C71"/>
    <w:rsid w:val="72F7E8EA"/>
    <w:rsid w:val="72FEEB22"/>
    <w:rsid w:val="72FF7E3E"/>
    <w:rsid w:val="73593BFF"/>
    <w:rsid w:val="735C72C2"/>
    <w:rsid w:val="73601852"/>
    <w:rsid w:val="73885001"/>
    <w:rsid w:val="738B18DE"/>
    <w:rsid w:val="73CDE62B"/>
    <w:rsid w:val="73CFB47C"/>
    <w:rsid w:val="73F70E65"/>
    <w:rsid w:val="73F76F74"/>
    <w:rsid w:val="74573252"/>
    <w:rsid w:val="74626AE3"/>
    <w:rsid w:val="74850A24"/>
    <w:rsid w:val="749D4072"/>
    <w:rsid w:val="758C4924"/>
    <w:rsid w:val="75BFFE0A"/>
    <w:rsid w:val="75D9228C"/>
    <w:rsid w:val="75E72C2C"/>
    <w:rsid w:val="761375DA"/>
    <w:rsid w:val="761F3D2D"/>
    <w:rsid w:val="76261D92"/>
    <w:rsid w:val="76341295"/>
    <w:rsid w:val="76427D49"/>
    <w:rsid w:val="773D42F6"/>
    <w:rsid w:val="776B0A89"/>
    <w:rsid w:val="776F3A50"/>
    <w:rsid w:val="77A929A6"/>
    <w:rsid w:val="77B51620"/>
    <w:rsid w:val="77C17223"/>
    <w:rsid w:val="77E73E1A"/>
    <w:rsid w:val="77ED62D4"/>
    <w:rsid w:val="77F66997"/>
    <w:rsid w:val="77FB65B0"/>
    <w:rsid w:val="77FE6E4C"/>
    <w:rsid w:val="781400F4"/>
    <w:rsid w:val="78A05E2C"/>
    <w:rsid w:val="78E52CDF"/>
    <w:rsid w:val="79752091"/>
    <w:rsid w:val="797C2E06"/>
    <w:rsid w:val="79C36276"/>
    <w:rsid w:val="79C70F6E"/>
    <w:rsid w:val="7A4C63E8"/>
    <w:rsid w:val="7AF6CA9A"/>
    <w:rsid w:val="7B3559DB"/>
    <w:rsid w:val="7B3FCB3D"/>
    <w:rsid w:val="7B486307"/>
    <w:rsid w:val="7B4B1F33"/>
    <w:rsid w:val="7B881E48"/>
    <w:rsid w:val="7BA9C428"/>
    <w:rsid w:val="7BAF9E80"/>
    <w:rsid w:val="7BB65EF2"/>
    <w:rsid w:val="7BD65AD0"/>
    <w:rsid w:val="7BF760C0"/>
    <w:rsid w:val="7BFF60D2"/>
    <w:rsid w:val="7C3B7650"/>
    <w:rsid w:val="7C596A1E"/>
    <w:rsid w:val="7C5F3540"/>
    <w:rsid w:val="7CA8633A"/>
    <w:rsid w:val="7CAD60DB"/>
    <w:rsid w:val="7CCF4F32"/>
    <w:rsid w:val="7CD166D1"/>
    <w:rsid w:val="7CD567E9"/>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DE7AC1"/>
    <w:rsid w:val="7EE52075"/>
    <w:rsid w:val="7EEFB99E"/>
    <w:rsid w:val="7EF36CA3"/>
    <w:rsid w:val="7F20732F"/>
    <w:rsid w:val="7F330B56"/>
    <w:rsid w:val="7F4E3585"/>
    <w:rsid w:val="7F5A3CB1"/>
    <w:rsid w:val="7F8F7919"/>
    <w:rsid w:val="7FAFD275"/>
    <w:rsid w:val="7FB56562"/>
    <w:rsid w:val="7FBD985E"/>
    <w:rsid w:val="7FBFCB2A"/>
    <w:rsid w:val="7FCD4930"/>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F66B3A"/>
    <w:rsid w:val="FF2F26D7"/>
    <w:rsid w:val="FF3E5C97"/>
    <w:rsid w:val="FF5D372D"/>
    <w:rsid w:val="FF5EDD9A"/>
    <w:rsid w:val="FF7FF2E1"/>
    <w:rsid w:val="FFB956C8"/>
    <w:rsid w:val="FFEFC9FC"/>
    <w:rsid w:val="FFFDE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4"/>
    <w:qFormat/>
    <w:uiPriority w:val="0"/>
    <w:pPr>
      <w:keepNext/>
      <w:keepLines/>
      <w:numPr>
        <w:ilvl w:val="0"/>
        <w:numId w:val="1"/>
      </w:numPr>
      <w:adjustRightInd w:val="0"/>
      <w:spacing w:before="120" w:after="120"/>
      <w:textAlignment w:val="baseline"/>
      <w:outlineLvl w:val="0"/>
    </w:pPr>
    <w:rPr>
      <w:rFonts w:eastAsia="黑体"/>
      <w:kern w:val="44"/>
      <w:sz w:val="28"/>
    </w:rPr>
  </w:style>
  <w:style w:type="paragraph" w:styleId="3">
    <w:name w:val="heading 2"/>
    <w:basedOn w:val="1"/>
    <w:next w:val="1"/>
    <w:link w:val="35"/>
    <w:qFormat/>
    <w:uiPriority w:val="0"/>
    <w:pPr>
      <w:keepNext/>
      <w:keepLines/>
      <w:numPr>
        <w:ilvl w:val="1"/>
        <w:numId w:val="1"/>
      </w:numPr>
      <w:adjustRightInd w:val="0"/>
      <w:spacing w:before="120" w:after="120"/>
      <w:textAlignment w:val="baseline"/>
      <w:outlineLvl w:val="1"/>
    </w:pPr>
    <w:rPr>
      <w:rFonts w:eastAsia="黑体"/>
      <w:kern w:val="0"/>
      <w:sz w:val="24"/>
    </w:rPr>
  </w:style>
  <w:style w:type="paragraph" w:styleId="4">
    <w:name w:val="heading 3"/>
    <w:basedOn w:val="1"/>
    <w:next w:val="1"/>
    <w:link w:val="36"/>
    <w:qFormat/>
    <w:uiPriority w:val="0"/>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5">
    <w:name w:val="heading 4"/>
    <w:basedOn w:val="1"/>
    <w:next w:val="1"/>
    <w:link w:val="37"/>
    <w:qFormat/>
    <w:uiPriority w:val="0"/>
    <w:pPr>
      <w:numPr>
        <w:ilvl w:val="3"/>
        <w:numId w:val="1"/>
      </w:numPr>
      <w:adjustRightInd w:val="0"/>
      <w:spacing w:line="300" w:lineRule="auto"/>
      <w:outlineLvl w:val="3"/>
    </w:pPr>
    <w:rPr>
      <w:kern w:val="28"/>
      <w:sz w:val="24"/>
    </w:rPr>
  </w:style>
  <w:style w:type="paragraph" w:styleId="6">
    <w:name w:val="heading 5"/>
    <w:basedOn w:val="1"/>
    <w:next w:val="1"/>
    <w:link w:val="38"/>
    <w:qFormat/>
    <w:uiPriority w:val="9"/>
    <w:pPr>
      <w:keepNext/>
      <w:keepLines/>
      <w:spacing w:before="280" w:after="290" w:line="376" w:lineRule="auto"/>
      <w:outlineLvl w:val="4"/>
    </w:pPr>
    <w:rPr>
      <w:b/>
      <w:bCs/>
      <w:sz w:val="28"/>
      <w:szCs w:val="28"/>
    </w:rPr>
  </w:style>
  <w:style w:type="paragraph" w:styleId="7">
    <w:name w:val="heading 6"/>
    <w:basedOn w:val="1"/>
    <w:next w:val="1"/>
    <w:link w:val="39"/>
    <w:qFormat/>
    <w:uiPriority w:val="9"/>
    <w:pPr>
      <w:keepNext/>
      <w:keepLines/>
      <w:spacing w:before="240" w:after="64" w:line="320" w:lineRule="auto"/>
      <w:outlineLvl w:val="5"/>
    </w:pPr>
    <w:rPr>
      <w:rFonts w:ascii="Cambria" w:hAnsi="Cambria"/>
      <w:b/>
      <w:bCs/>
      <w:sz w:val="24"/>
      <w:szCs w:val="24"/>
    </w:rPr>
  </w:style>
  <w:style w:type="paragraph" w:styleId="8">
    <w:name w:val="heading 7"/>
    <w:basedOn w:val="1"/>
    <w:next w:val="1"/>
    <w:link w:val="40"/>
    <w:qFormat/>
    <w:uiPriority w:val="9"/>
    <w:pPr>
      <w:keepNext/>
      <w:keepLines/>
      <w:spacing w:before="240" w:after="64" w:line="320" w:lineRule="auto"/>
      <w:outlineLvl w:val="6"/>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9">
    <w:name w:val="Normal Indent"/>
    <w:basedOn w:val="1"/>
    <w:link w:val="41"/>
    <w:qFormat/>
    <w:uiPriority w:val="0"/>
    <w:pPr>
      <w:spacing w:line="360" w:lineRule="auto"/>
      <w:ind w:firstLine="420"/>
    </w:pPr>
    <w:rPr>
      <w:sz w:val="24"/>
      <w:szCs w:val="24"/>
    </w:rPr>
  </w:style>
  <w:style w:type="paragraph" w:styleId="10">
    <w:name w:val="Document Map"/>
    <w:basedOn w:val="1"/>
    <w:link w:val="42"/>
    <w:qFormat/>
    <w:uiPriority w:val="99"/>
    <w:rPr>
      <w:rFonts w:ascii="宋体"/>
      <w:kern w:val="0"/>
      <w:sz w:val="18"/>
      <w:szCs w:val="18"/>
    </w:rPr>
  </w:style>
  <w:style w:type="paragraph" w:styleId="11">
    <w:name w:val="annotation text"/>
    <w:basedOn w:val="1"/>
    <w:link w:val="43"/>
    <w:qFormat/>
    <w:uiPriority w:val="99"/>
    <w:pPr>
      <w:jc w:val="left"/>
    </w:pPr>
  </w:style>
  <w:style w:type="paragraph" w:styleId="12">
    <w:name w:val="Body Text"/>
    <w:basedOn w:val="1"/>
    <w:next w:val="1"/>
    <w:link w:val="32"/>
    <w:qFormat/>
    <w:uiPriority w:val="0"/>
    <w:pPr>
      <w:adjustRightInd w:val="0"/>
      <w:spacing w:line="600" w:lineRule="exact"/>
      <w:textAlignment w:val="baseline"/>
    </w:pPr>
    <w:rPr>
      <w:rFonts w:eastAsia="仿宋体"/>
      <w:b/>
      <w:kern w:val="0"/>
      <w:sz w:val="32"/>
    </w:rPr>
  </w:style>
  <w:style w:type="paragraph" w:styleId="13">
    <w:name w:val="Body Text Indent"/>
    <w:basedOn w:val="1"/>
    <w:link w:val="44"/>
    <w:qFormat/>
    <w:uiPriority w:val="99"/>
    <w:pPr>
      <w:spacing w:after="120"/>
      <w:ind w:left="420" w:leftChars="200"/>
    </w:pPr>
  </w:style>
  <w:style w:type="paragraph" w:styleId="14">
    <w:name w:val="Plain Text"/>
    <w:basedOn w:val="1"/>
    <w:qFormat/>
    <w:uiPriority w:val="0"/>
    <w:rPr>
      <w:rFonts w:ascii="宋体" w:hAnsi="Courier New"/>
    </w:rPr>
  </w:style>
  <w:style w:type="paragraph" w:styleId="15">
    <w:name w:val="Date"/>
    <w:basedOn w:val="1"/>
    <w:next w:val="1"/>
    <w:link w:val="45"/>
    <w:qFormat/>
    <w:uiPriority w:val="99"/>
    <w:pPr>
      <w:ind w:left="100" w:leftChars="2500"/>
    </w:pPr>
  </w:style>
  <w:style w:type="paragraph" w:styleId="16">
    <w:name w:val="Balloon Text"/>
    <w:basedOn w:val="1"/>
    <w:link w:val="46"/>
    <w:qFormat/>
    <w:uiPriority w:val="99"/>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9">
    <w:name w:val="toc 6"/>
    <w:basedOn w:val="1"/>
    <w:next w:val="1"/>
    <w:qFormat/>
    <w:uiPriority w:val="39"/>
    <w:pPr>
      <w:ind w:left="1050"/>
      <w:jc w:val="left"/>
    </w:pPr>
    <w:rPr>
      <w:sz w:val="18"/>
      <w:szCs w:val="18"/>
    </w:rPr>
  </w:style>
  <w:style w:type="paragraph" w:styleId="20">
    <w:name w:val="Body Text Indent 3"/>
    <w:basedOn w:val="1"/>
    <w:link w:val="49"/>
    <w:qFormat/>
    <w:uiPriority w:val="99"/>
    <w:pPr>
      <w:spacing w:after="120"/>
      <w:ind w:left="420" w:leftChars="200"/>
    </w:pPr>
    <w:rPr>
      <w:sz w:val="16"/>
      <w:szCs w:val="16"/>
    </w:rPr>
  </w:style>
  <w:style w:type="paragraph" w:styleId="21">
    <w:name w:val="Body Text 2"/>
    <w:basedOn w:val="1"/>
    <w:qFormat/>
    <w:uiPriority w:val="99"/>
    <w:pPr>
      <w:widowControl/>
      <w:snapToGrid w:val="0"/>
      <w:spacing w:before="50" w:afterLines="50" w:line="400" w:lineRule="exact"/>
      <w:jc w:val="left"/>
    </w:pPr>
    <w:rPr>
      <w:rFonts w:ascii="宋体" w:hAnsi="宋体"/>
      <w:color w:val="000000"/>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50"/>
    <w:qFormat/>
    <w:uiPriority w:val="10"/>
    <w:pPr>
      <w:spacing w:before="240" w:after="60"/>
      <w:jc w:val="center"/>
      <w:outlineLvl w:val="0"/>
    </w:pPr>
    <w:rPr>
      <w:rFonts w:ascii="Cambria" w:hAnsi="Cambria"/>
      <w:b/>
      <w:bCs/>
      <w:sz w:val="32"/>
      <w:szCs w:val="32"/>
    </w:rPr>
  </w:style>
  <w:style w:type="paragraph" w:styleId="24">
    <w:name w:val="annotation subject"/>
    <w:basedOn w:val="11"/>
    <w:next w:val="11"/>
    <w:link w:val="51"/>
    <w:qFormat/>
    <w:uiPriority w:val="99"/>
    <w:rPr>
      <w:b/>
      <w:bCs/>
    </w:rPr>
  </w:style>
  <w:style w:type="paragraph" w:styleId="25">
    <w:name w:val="Body Text First Indent"/>
    <w:basedOn w:val="12"/>
    <w:next w:val="19"/>
    <w:link w:val="33"/>
    <w:qFormat/>
    <w:uiPriority w:val="0"/>
    <w:pPr>
      <w:adjustRightInd/>
      <w:spacing w:after="120" w:line="240" w:lineRule="auto"/>
      <w:ind w:firstLine="420" w:firstLineChars="100"/>
      <w:textAlignment w:val="auto"/>
    </w:pPr>
    <w:rPr>
      <w:rFonts w:eastAsia="宋体"/>
      <w:b w:val="0"/>
      <w:kern w:val="2"/>
      <w:sz w:val="21"/>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Hyperlink"/>
    <w:qFormat/>
    <w:uiPriority w:val="99"/>
    <w:rPr>
      <w:color w:val="666666"/>
      <w:u w:val="none"/>
    </w:rPr>
  </w:style>
  <w:style w:type="character" w:styleId="31">
    <w:name w:val="annotation reference"/>
    <w:qFormat/>
    <w:uiPriority w:val="0"/>
    <w:rPr>
      <w:sz w:val="21"/>
      <w:szCs w:val="21"/>
    </w:rPr>
  </w:style>
  <w:style w:type="character" w:customStyle="1" w:styleId="32">
    <w:name w:val="正文文本 字符"/>
    <w:link w:val="12"/>
    <w:qFormat/>
    <w:uiPriority w:val="0"/>
    <w:rPr>
      <w:rFonts w:ascii="Times New Roman" w:hAnsi="Times New Roman" w:eastAsia="仿宋体"/>
      <w:b/>
      <w:sz w:val="32"/>
    </w:rPr>
  </w:style>
  <w:style w:type="character" w:customStyle="1" w:styleId="33">
    <w:name w:val="正文文本首行缩进 字符"/>
    <w:link w:val="25"/>
    <w:qFormat/>
    <w:uiPriority w:val="0"/>
    <w:rPr>
      <w:rFonts w:ascii="Times New Roman" w:hAnsi="Times New Roman" w:eastAsia="仿宋体"/>
      <w:kern w:val="2"/>
      <w:sz w:val="21"/>
      <w:szCs w:val="24"/>
    </w:rPr>
  </w:style>
  <w:style w:type="character" w:customStyle="1" w:styleId="34">
    <w:name w:val="标题 1 字符"/>
    <w:link w:val="2"/>
    <w:qFormat/>
    <w:uiPriority w:val="0"/>
    <w:rPr>
      <w:rFonts w:ascii="Times New Roman" w:hAnsi="Times New Roman" w:eastAsia="黑体"/>
      <w:kern w:val="44"/>
      <w:sz w:val="28"/>
    </w:rPr>
  </w:style>
  <w:style w:type="character" w:customStyle="1" w:styleId="35">
    <w:name w:val="标题 2 字符"/>
    <w:link w:val="3"/>
    <w:qFormat/>
    <w:uiPriority w:val="0"/>
    <w:rPr>
      <w:rFonts w:ascii="Times New Roman" w:hAnsi="Times New Roman" w:eastAsia="黑体"/>
      <w:sz w:val="24"/>
    </w:rPr>
  </w:style>
  <w:style w:type="character" w:customStyle="1" w:styleId="36">
    <w:name w:val="标题 3 字符"/>
    <w:link w:val="4"/>
    <w:qFormat/>
    <w:uiPriority w:val="0"/>
    <w:rPr>
      <w:rFonts w:ascii="Times New Roman" w:hAnsi="Times New Roman" w:eastAsia="黑体"/>
      <w:sz w:val="24"/>
    </w:rPr>
  </w:style>
  <w:style w:type="character" w:customStyle="1" w:styleId="37">
    <w:name w:val="标题 4 字符"/>
    <w:link w:val="5"/>
    <w:qFormat/>
    <w:uiPriority w:val="0"/>
    <w:rPr>
      <w:rFonts w:ascii="Times New Roman" w:hAnsi="Times New Roman"/>
      <w:kern w:val="28"/>
      <w:sz w:val="24"/>
    </w:rPr>
  </w:style>
  <w:style w:type="character" w:customStyle="1" w:styleId="38">
    <w:name w:val="标题 5 字符"/>
    <w:link w:val="6"/>
    <w:qFormat/>
    <w:uiPriority w:val="9"/>
    <w:rPr>
      <w:b/>
      <w:bCs/>
      <w:kern w:val="2"/>
      <w:sz w:val="28"/>
      <w:szCs w:val="28"/>
    </w:rPr>
  </w:style>
  <w:style w:type="character" w:customStyle="1" w:styleId="39">
    <w:name w:val="标题 6 字符"/>
    <w:link w:val="7"/>
    <w:qFormat/>
    <w:uiPriority w:val="9"/>
    <w:rPr>
      <w:rFonts w:ascii="Cambria" w:hAnsi="Cambria" w:eastAsia="宋体" w:cs="Times New Roman"/>
      <w:b/>
      <w:bCs/>
      <w:kern w:val="2"/>
      <w:sz w:val="24"/>
      <w:szCs w:val="24"/>
    </w:rPr>
  </w:style>
  <w:style w:type="character" w:customStyle="1" w:styleId="40">
    <w:name w:val="标题 7 字符"/>
    <w:link w:val="8"/>
    <w:qFormat/>
    <w:uiPriority w:val="9"/>
    <w:rPr>
      <w:b/>
      <w:bCs/>
      <w:kern w:val="2"/>
      <w:sz w:val="24"/>
      <w:szCs w:val="24"/>
    </w:rPr>
  </w:style>
  <w:style w:type="character" w:customStyle="1" w:styleId="41">
    <w:name w:val="正文缩进 字符"/>
    <w:link w:val="9"/>
    <w:qFormat/>
    <w:uiPriority w:val="0"/>
    <w:rPr>
      <w:rFonts w:ascii="Times New Roman" w:hAnsi="Times New Roman"/>
      <w:kern w:val="2"/>
      <w:sz w:val="24"/>
      <w:szCs w:val="24"/>
    </w:rPr>
  </w:style>
  <w:style w:type="character" w:customStyle="1" w:styleId="42">
    <w:name w:val="文档结构图 字符"/>
    <w:link w:val="10"/>
    <w:qFormat/>
    <w:uiPriority w:val="99"/>
    <w:rPr>
      <w:rFonts w:ascii="宋体" w:hAnsi="Times New Roman" w:eastAsia="宋体" w:cs="Times New Roman"/>
      <w:sz w:val="18"/>
      <w:szCs w:val="18"/>
    </w:rPr>
  </w:style>
  <w:style w:type="character" w:customStyle="1" w:styleId="43">
    <w:name w:val="批注文字 字符"/>
    <w:link w:val="11"/>
    <w:qFormat/>
    <w:uiPriority w:val="99"/>
    <w:rPr>
      <w:kern w:val="2"/>
      <w:sz w:val="21"/>
    </w:rPr>
  </w:style>
  <w:style w:type="character" w:customStyle="1" w:styleId="44">
    <w:name w:val="正文文本缩进 字符"/>
    <w:link w:val="13"/>
    <w:qFormat/>
    <w:uiPriority w:val="99"/>
    <w:rPr>
      <w:rFonts w:ascii="Times New Roman" w:hAnsi="Times New Roman"/>
      <w:kern w:val="2"/>
      <w:sz w:val="21"/>
    </w:rPr>
  </w:style>
  <w:style w:type="character" w:customStyle="1" w:styleId="45">
    <w:name w:val="日期 字符"/>
    <w:link w:val="15"/>
    <w:qFormat/>
    <w:uiPriority w:val="99"/>
    <w:rPr>
      <w:rFonts w:ascii="Times New Roman" w:hAnsi="Times New Roman"/>
      <w:kern w:val="2"/>
      <w:sz w:val="21"/>
    </w:rPr>
  </w:style>
  <w:style w:type="character" w:customStyle="1" w:styleId="46">
    <w:name w:val="批注框文本 字符"/>
    <w:link w:val="16"/>
    <w:qFormat/>
    <w:uiPriority w:val="99"/>
    <w:rPr>
      <w:rFonts w:ascii="Times New Roman" w:hAnsi="Times New Roman"/>
      <w:kern w:val="2"/>
      <w:sz w:val="18"/>
      <w:szCs w:val="18"/>
    </w:rPr>
  </w:style>
  <w:style w:type="character" w:customStyle="1" w:styleId="47">
    <w:name w:val="页脚 字符"/>
    <w:link w:val="17"/>
    <w:qFormat/>
    <w:uiPriority w:val="99"/>
    <w:rPr>
      <w:rFonts w:ascii="Times New Roman" w:hAnsi="Times New Roman"/>
      <w:kern w:val="2"/>
      <w:sz w:val="18"/>
      <w:szCs w:val="18"/>
    </w:rPr>
  </w:style>
  <w:style w:type="character" w:customStyle="1" w:styleId="48">
    <w:name w:val="页眉 字符"/>
    <w:link w:val="18"/>
    <w:qFormat/>
    <w:uiPriority w:val="99"/>
    <w:rPr>
      <w:rFonts w:ascii="Times New Roman" w:hAnsi="Times New Roman"/>
      <w:kern w:val="2"/>
      <w:sz w:val="18"/>
      <w:szCs w:val="18"/>
    </w:rPr>
  </w:style>
  <w:style w:type="character" w:customStyle="1" w:styleId="49">
    <w:name w:val="正文文本缩进 3 字符"/>
    <w:link w:val="20"/>
    <w:qFormat/>
    <w:uiPriority w:val="99"/>
    <w:rPr>
      <w:rFonts w:ascii="Times New Roman" w:hAnsi="Times New Roman"/>
      <w:kern w:val="2"/>
      <w:sz w:val="16"/>
      <w:szCs w:val="16"/>
    </w:rPr>
  </w:style>
  <w:style w:type="character" w:customStyle="1" w:styleId="50">
    <w:name w:val="标题 字符"/>
    <w:link w:val="23"/>
    <w:qFormat/>
    <w:uiPriority w:val="10"/>
    <w:rPr>
      <w:rFonts w:ascii="Cambria" w:hAnsi="Cambria" w:eastAsia="宋体" w:cs="Times New Roman"/>
      <w:b/>
      <w:bCs/>
      <w:kern w:val="2"/>
      <w:sz w:val="32"/>
      <w:szCs w:val="32"/>
    </w:rPr>
  </w:style>
  <w:style w:type="character" w:customStyle="1" w:styleId="51">
    <w:name w:val="批注主题 字符"/>
    <w:link w:val="24"/>
    <w:qFormat/>
    <w:uiPriority w:val="99"/>
    <w:rPr>
      <w:b/>
      <w:bCs/>
      <w:kern w:val="2"/>
      <w:sz w:val="21"/>
    </w:rPr>
  </w:style>
  <w:style w:type="paragraph" w:customStyle="1" w:styleId="52">
    <w:name w:val="_Style 2"/>
    <w:basedOn w:val="1"/>
    <w:qFormat/>
    <w:uiPriority w:val="0"/>
    <w:pPr>
      <w:ind w:firstLine="200" w:firstLineChars="200"/>
    </w:pPr>
    <w:rPr>
      <w:rFonts w:ascii="Calibri" w:hAnsi="Calibri"/>
      <w:sz w:val="28"/>
    </w:rPr>
  </w:style>
  <w:style w:type="character" w:customStyle="1" w:styleId="53">
    <w:name w:val="font01"/>
    <w:qFormat/>
    <w:uiPriority w:val="0"/>
    <w:rPr>
      <w:rFonts w:hint="eastAsia" w:ascii="宋体" w:hAnsi="宋体" w:eastAsia="宋体"/>
      <w:color w:val="000000"/>
      <w:sz w:val="18"/>
      <w:szCs w:val="18"/>
      <w:u w:val="none"/>
    </w:rPr>
  </w:style>
  <w:style w:type="paragraph" w:customStyle="1" w:styleId="54">
    <w:name w:val="p0"/>
    <w:basedOn w:val="1"/>
    <w:qFormat/>
    <w:uiPriority w:val="0"/>
    <w:pPr>
      <w:widowControl/>
      <w:snapToGrid w:val="0"/>
      <w:spacing w:line="300" w:lineRule="auto"/>
      <w:ind w:firstLine="420"/>
    </w:pPr>
    <w:rPr>
      <w:kern w:val="0"/>
      <w:sz w:val="24"/>
      <w:szCs w:val="24"/>
    </w:rPr>
  </w:style>
  <w:style w:type="paragraph" w:customStyle="1" w:styleId="55">
    <w:name w:val="p15"/>
    <w:basedOn w:val="1"/>
    <w:qFormat/>
    <w:uiPriority w:val="0"/>
    <w:pPr>
      <w:widowControl/>
      <w:snapToGrid w:val="0"/>
      <w:spacing w:line="300" w:lineRule="auto"/>
      <w:ind w:firstLine="420"/>
    </w:pPr>
    <w:rPr>
      <w:kern w:val="0"/>
      <w:sz w:val="24"/>
      <w:szCs w:val="24"/>
    </w:rPr>
  </w:style>
  <w:style w:type="paragraph" w:customStyle="1" w:styleId="56">
    <w:name w:val="列出段落1"/>
    <w:basedOn w:val="1"/>
    <w:qFormat/>
    <w:uiPriority w:val="34"/>
    <w:pPr>
      <w:ind w:firstLine="200" w:firstLineChars="200"/>
    </w:pPr>
    <w:rPr>
      <w:rFonts w:hint="eastAsia"/>
    </w:rPr>
  </w:style>
  <w:style w:type="paragraph" w:customStyle="1" w:styleId="57">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
    <w:name w:val="节"/>
    <w:basedOn w:val="1"/>
    <w:qFormat/>
    <w:uiPriority w:val="0"/>
    <w:pPr>
      <w:numPr>
        <w:ilvl w:val="1"/>
        <w:numId w:val="2"/>
      </w:numPr>
    </w:pPr>
    <w:rPr>
      <w:szCs w:val="24"/>
    </w:rPr>
  </w:style>
  <w:style w:type="paragraph" w:customStyle="1" w:styleId="61">
    <w:name w:val="WPSOffice手动目录 1"/>
    <w:qFormat/>
    <w:uiPriority w:val="0"/>
    <w:rPr>
      <w:rFonts w:ascii="Calibri" w:hAnsi="Calibri" w:eastAsia="宋体" w:cs="Times New Roman"/>
      <w:lang w:val="en-US" w:eastAsia="zh-CN" w:bidi="ar-SA"/>
    </w:rPr>
  </w:style>
  <w:style w:type="paragraph" w:customStyle="1" w:styleId="62">
    <w:name w:val="表"/>
    <w:next w:val="1"/>
    <w:qFormat/>
    <w:uiPriority w:val="0"/>
    <w:rPr>
      <w:rFonts w:ascii="Calibri" w:hAnsi="Calibri" w:eastAsia="宋体" w:cs="Times New Roman"/>
      <w:kern w:val="2"/>
      <w:sz w:val="21"/>
      <w:szCs w:val="22"/>
      <w:lang w:val="en-US" w:eastAsia="zh-CN" w:bidi="ar-SA"/>
    </w:rPr>
  </w:style>
  <w:style w:type="character" w:customStyle="1" w:styleId="63">
    <w:name w:val="font41"/>
    <w:basedOn w:val="28"/>
    <w:qFormat/>
    <w:uiPriority w:val="0"/>
    <w:rPr>
      <w:rFonts w:hint="eastAsia" w:ascii="宋体" w:hAnsi="宋体" w:eastAsia="宋体" w:cs="宋体"/>
      <w:color w:val="000000"/>
      <w:sz w:val="20"/>
      <w:szCs w:val="20"/>
      <w:u w:val="none"/>
    </w:rPr>
  </w:style>
  <w:style w:type="character" w:customStyle="1" w:styleId="64">
    <w:name w:val="font71"/>
    <w:qFormat/>
    <w:uiPriority w:val="0"/>
    <w:rPr>
      <w:rFonts w:hint="eastAsia" w:ascii="微软雅黑" w:hAnsi="微软雅黑" w:eastAsia="微软雅黑" w:cs="微软雅黑"/>
      <w:color w:val="000000"/>
      <w:sz w:val="18"/>
      <w:szCs w:val="18"/>
      <w:u w:val="none"/>
    </w:rPr>
  </w:style>
  <w:style w:type="paragraph" w:customStyle="1" w:styleId="65">
    <w:name w:val="修订1"/>
    <w:qFormat/>
    <w:uiPriority w:val="99"/>
    <w:rPr>
      <w:rFonts w:ascii="Times New Roman" w:hAnsi="Times New Roman" w:eastAsia="宋体" w:cs="Times New Roman"/>
      <w:kern w:val="2"/>
      <w:sz w:val="21"/>
      <w:lang w:val="en-US" w:eastAsia="zh-CN" w:bidi="ar-SA"/>
    </w:rPr>
  </w:style>
  <w:style w:type="paragraph" w:styleId="66">
    <w:name w:val="List Paragraph"/>
    <w:basedOn w:val="1"/>
    <w:qFormat/>
    <w:uiPriority w:val="99"/>
    <w:pPr>
      <w:ind w:firstLine="420" w:firstLineChars="200"/>
    </w:pPr>
  </w:style>
  <w:style w:type="paragraph" w:customStyle="1" w:styleId="67">
    <w:name w:val="修订2"/>
    <w:qFormat/>
    <w:uiPriority w:val="99"/>
    <w:rPr>
      <w:rFonts w:ascii="Times New Roman" w:hAnsi="Times New Roman" w:eastAsia="宋体" w:cs="Times New Roman"/>
      <w:kern w:val="2"/>
      <w:sz w:val="21"/>
      <w:lang w:val="en-US" w:eastAsia="zh-CN" w:bidi="ar-SA"/>
    </w:rPr>
  </w:style>
  <w:style w:type="paragraph" w:customStyle="1" w:styleId="68">
    <w:name w:val="List Paragraph1"/>
    <w:basedOn w:val="1"/>
    <w:qFormat/>
    <w:uiPriority w:val="99"/>
    <w:pPr>
      <w:ind w:firstLine="420" w:firstLineChars="200"/>
    </w:pPr>
  </w:style>
  <w:style w:type="character" w:customStyle="1" w:styleId="69">
    <w:name w:val="font21"/>
    <w:qFormat/>
    <w:uiPriority w:val="0"/>
    <w:rPr>
      <w:rFonts w:hint="eastAsia" w:ascii="仿宋" w:hAnsi="仿宋" w:eastAsia="仿宋" w:cs="仿宋"/>
      <w:color w:val="000000"/>
      <w:sz w:val="20"/>
      <w:szCs w:val="20"/>
      <w:u w:val="none"/>
    </w:rPr>
  </w:style>
  <w:style w:type="character" w:customStyle="1" w:styleId="70">
    <w:name w:val="font51"/>
    <w:qFormat/>
    <w:uiPriority w:val="0"/>
    <w:rPr>
      <w:rFonts w:hint="eastAsia" w:ascii="宋体" w:hAnsi="宋体" w:eastAsia="宋体" w:cs="宋体"/>
      <w:color w:val="00CCFF"/>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paragraph" w:customStyle="1" w:styleId="72">
    <w:name w:val="修订3"/>
    <w:qFormat/>
    <w:uiPriority w:val="99"/>
    <w:rPr>
      <w:rFonts w:ascii="Times New Roman" w:hAnsi="Times New Roman" w:eastAsia="宋体" w:cs="Times New Roman"/>
      <w:kern w:val="2"/>
      <w:sz w:val="21"/>
      <w:lang w:val="en-US" w:eastAsia="zh-CN" w:bidi="ar-SA"/>
    </w:rPr>
  </w:style>
  <w:style w:type="paragraph" w:customStyle="1" w:styleId="73">
    <w:name w:val="修订4"/>
    <w:qFormat/>
    <w:uiPriority w:val="99"/>
    <w:rPr>
      <w:rFonts w:ascii="Times New Roman" w:hAnsi="Times New Roman" w:eastAsia="宋体" w:cs="Times New Roman"/>
      <w:kern w:val="2"/>
      <w:sz w:val="21"/>
      <w:lang w:val="en-US" w:eastAsia="zh-CN" w:bidi="ar-SA"/>
    </w:rPr>
  </w:style>
  <w:style w:type="paragraph" w:customStyle="1" w:styleId="74">
    <w:name w:val="Revision1"/>
    <w:qFormat/>
    <w:uiPriority w:val="99"/>
    <w:rPr>
      <w:rFonts w:ascii="Times New Roman" w:hAnsi="Times New Roman" w:eastAsia="宋体" w:cs="Times New Roman"/>
      <w:kern w:val="2"/>
      <w:sz w:val="21"/>
      <w:lang w:val="en-US" w:eastAsia="zh-CN" w:bidi="ar-SA"/>
    </w:rPr>
  </w:style>
  <w:style w:type="paragraph" w:customStyle="1" w:styleId="75">
    <w:name w:val="修订5"/>
    <w:qFormat/>
    <w:uiPriority w:val="99"/>
    <w:rPr>
      <w:rFonts w:ascii="Times New Roman" w:hAnsi="Times New Roman" w:eastAsia="宋体" w:cs="Times New Roman"/>
      <w:kern w:val="2"/>
      <w:sz w:val="21"/>
      <w:lang w:val="en-US" w:eastAsia="zh-CN" w:bidi="ar-SA"/>
    </w:rPr>
  </w:style>
  <w:style w:type="paragraph" w:customStyle="1" w:styleId="76">
    <w:name w:val="修订6"/>
    <w:qFormat/>
    <w:uiPriority w:val="99"/>
    <w:rPr>
      <w:rFonts w:ascii="Times New Roman" w:hAnsi="Times New Roman" w:eastAsia="宋体" w:cs="Times New Roman"/>
      <w:kern w:val="2"/>
      <w:sz w:val="21"/>
      <w:lang w:val="en-US" w:eastAsia="zh-CN" w:bidi="ar-SA"/>
    </w:rPr>
  </w:style>
  <w:style w:type="character" w:customStyle="1" w:styleId="77">
    <w:name w:val="font61"/>
    <w:basedOn w:val="28"/>
    <w:qFormat/>
    <w:uiPriority w:val="0"/>
    <w:rPr>
      <w:rFonts w:hint="eastAsia" w:ascii="宋体" w:hAnsi="宋体" w:eastAsia="宋体" w:cs="宋体"/>
      <w:b/>
      <w:bCs/>
      <w:color w:val="000000"/>
      <w:sz w:val="28"/>
      <w:szCs w:val="28"/>
      <w:u w:val="none"/>
    </w:rPr>
  </w:style>
  <w:style w:type="character" w:customStyle="1" w:styleId="78">
    <w:name w:val="font31"/>
    <w:basedOn w:val="28"/>
    <w:qFormat/>
    <w:uiPriority w:val="0"/>
    <w:rPr>
      <w:rFonts w:hint="default" w:ascii="仿宋" w:hAnsi="仿宋" w:eastAsia="仿宋" w:cs="仿宋"/>
      <w:b/>
      <w:bCs/>
      <w:color w:val="000000"/>
      <w:sz w:val="20"/>
      <w:szCs w:val="20"/>
      <w:u w:val="none"/>
    </w:rPr>
  </w:style>
  <w:style w:type="paragraph" w:customStyle="1" w:styleId="79">
    <w:name w:val="列出段落2"/>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2366</Words>
  <Characters>2550</Characters>
  <Lines>64</Lines>
  <Paragraphs>18</Paragraphs>
  <TotalTime>6</TotalTime>
  <ScaleCrop>false</ScaleCrop>
  <LinksUpToDate>false</LinksUpToDate>
  <CharactersWithSpaces>2553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2025-10-07T19:12:00Z</dcterms:created>
  <dc:creator>admin</dc:creator>
  <cp:lastModifiedBy>admin</cp:lastModifiedBy>
  <cp:lastPrinted>2024-10-15T02:08:00Z</cp:lastPrinted>
  <dcterms:modified xsi:type="dcterms:W3CDTF">2026-09-11T06:06:22Z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EF78FA92713BB78B0B870869C06E7751_43</vt:lpwstr>
  </property>
  <property fmtid="{D5CDD505-2E9C-101B-9397-08002B2CF9AE}" pid="4" name="KSOTemplateDocerSaveRecord">
    <vt:lpwstr>eyJoZGlkIjoiZGM2MDczYzIzZTU3NzM0MjlkZDBmZmFiMzkzMTIzNjAiLCJ1c2VySWQiOiIxNDA5MDU4NjM5In0=</vt:lpwstr>
  </property>
</Properties>
</file>