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71764">
      <w:pPr>
        <w:keepNext/>
        <w:spacing w:before="240" w:after="60"/>
        <w:jc w:val="center"/>
        <w:outlineLvl w:val="0"/>
        <w:rPr>
          <w:rFonts w:hint="eastAsia" w:ascii="黑体" w:hAnsi="黑体" w:eastAsia="黑体" w:cs="黑体"/>
          <w:b/>
          <w:bCs/>
          <w:kern w:val="32"/>
          <w:sz w:val="32"/>
          <w:szCs w:val="32"/>
          <w:lang w:val="en-US" w:eastAsia="en-US" w:bidi="ar-SA"/>
        </w:rPr>
      </w:pPr>
      <w:bookmarkStart w:id="0" w:name="ZJ63013e0d-b5b6-468e-9599-a4fe8c9b63e7"/>
      <w:r>
        <w:rPr>
          <w:rFonts w:hint="eastAsia" w:ascii="黑体" w:hAnsi="黑体" w:eastAsia="黑体" w:cs="黑体"/>
          <w:b/>
          <w:bCs/>
          <w:kern w:val="32"/>
          <w:sz w:val="32"/>
          <w:szCs w:val="32"/>
          <w:lang w:val="en-US" w:eastAsia="zh-CN" w:bidi="ar-SA"/>
        </w:rPr>
        <w:t>中国电信集团工会厦门市委员会岛内外“员工电动汽车充电桩”采购项目</w:t>
      </w:r>
      <w:r>
        <w:rPr>
          <w:rFonts w:ascii="黑体" w:hAnsi="黑体" w:eastAsia="黑体" w:cs="黑体"/>
          <w:b/>
          <w:bCs/>
          <w:kern w:val="32"/>
          <w:sz w:val="32"/>
          <w:szCs w:val="32"/>
          <w:lang w:val="en-US" w:eastAsia="en-US" w:bidi="ar-SA"/>
        </w:rPr>
        <w:t>询比公告</w:t>
      </w:r>
      <w:bookmarkEnd w:id="0"/>
    </w:p>
    <w:p w14:paraId="060915BF">
      <w:pPr>
        <w:widowControl w:val="0"/>
        <w:wordWrap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本询比项目为</w:t>
      </w:r>
      <w:r>
        <w:rPr>
          <w:rFonts w:hint="eastAsia" w:ascii="宋体" w:hAnsi="宋体" w:eastAsia="宋体" w:cs="宋体"/>
          <w:vanish w:val="0"/>
          <w:kern w:val="2"/>
          <w:sz w:val="21"/>
          <w:szCs w:val="21"/>
          <w:lang w:eastAsia="zh-CN"/>
        </w:rPr>
        <w:t>中国电信集团工会厦门市委员会岛内外“员工电动汽车充电桩”采购项目</w:t>
      </w:r>
      <w:r>
        <w:rPr>
          <w:rFonts w:hint="eastAsia" w:ascii="宋体" w:hAnsi="宋体" w:eastAsia="宋体" w:cs="宋体"/>
          <w:kern w:val="2"/>
          <w:sz w:val="21"/>
          <w:szCs w:val="21"/>
          <w:lang w:eastAsia="zh-CN"/>
        </w:rPr>
        <w:t>（标段编号：</w:t>
      </w:r>
      <w:r>
        <w:rPr>
          <w:rFonts w:hint="eastAsia" w:ascii="宋体" w:hAnsi="宋体" w:eastAsia="宋体" w:cs="宋体"/>
          <w:vanish w:val="0"/>
          <w:kern w:val="2"/>
          <w:sz w:val="21"/>
          <w:szCs w:val="21"/>
          <w:lang w:eastAsia="zh-CN"/>
        </w:rPr>
        <w:t>FJBBFA202605190006</w:t>
      </w:r>
      <w:r>
        <w:rPr>
          <w:rFonts w:hint="eastAsia" w:ascii="宋体" w:hAnsi="宋体" w:eastAsia="宋体" w:cs="宋体"/>
          <w:kern w:val="2"/>
          <w:sz w:val="21"/>
          <w:szCs w:val="21"/>
          <w:lang w:eastAsia="zh-CN"/>
        </w:rPr>
        <w:t>），采购人为</w:t>
      </w:r>
      <w:r>
        <w:rPr>
          <w:rFonts w:hint="eastAsia" w:ascii="宋体" w:hAnsi="宋体" w:eastAsia="宋体" w:cs="宋体"/>
          <w:vanish w:val="0"/>
          <w:kern w:val="2"/>
          <w:sz w:val="21"/>
          <w:szCs w:val="21"/>
          <w:lang w:eastAsia="zh-CN"/>
        </w:rPr>
        <w:t>中国电信集团工会厦门市委员会</w:t>
      </w:r>
      <w:r>
        <w:rPr>
          <w:rFonts w:hint="eastAsia" w:ascii="宋体" w:hAnsi="宋体" w:eastAsia="宋体" w:cs="宋体"/>
          <w:kern w:val="2"/>
          <w:sz w:val="21"/>
          <w:szCs w:val="21"/>
          <w:lang w:eastAsia="zh-CN"/>
        </w:rPr>
        <w:t>，采购代理机构为</w:t>
      </w:r>
      <w:r>
        <w:rPr>
          <w:rFonts w:hint="eastAsia" w:ascii="宋体" w:hAnsi="宋体" w:eastAsia="宋体" w:cs="宋体"/>
          <w:vanish w:val="0"/>
          <w:kern w:val="2"/>
          <w:sz w:val="21"/>
          <w:szCs w:val="21"/>
          <w:lang w:eastAsia="zh-CN"/>
        </w:rPr>
        <w:t>福建省中通通信有限公司</w:t>
      </w:r>
      <w:r>
        <w:rPr>
          <w:rFonts w:hint="eastAsia" w:ascii="宋体" w:hAnsi="宋体" w:eastAsia="宋体" w:cs="宋体"/>
          <w:kern w:val="2"/>
          <w:sz w:val="21"/>
          <w:szCs w:val="21"/>
          <w:lang w:eastAsia="zh-CN"/>
        </w:rPr>
        <w:t>。项目资金已落实。</w:t>
      </w:r>
      <w:r>
        <w:rPr>
          <w:rFonts w:hint="eastAsia" w:ascii="宋体" w:hAnsi="宋体" w:eastAsia="宋体" w:cs="Times New Roman"/>
          <w:kern w:val="2"/>
          <w:sz w:val="21"/>
          <w:szCs w:val="21"/>
          <w:lang w:eastAsia="zh-CN"/>
        </w:rPr>
        <w:t>具备采购条件，现进行公开询比，特邀请有意向的且具有提供标的物能力的潜</w:t>
      </w:r>
      <w:bookmarkStart w:id="1" w:name="_GoBack"/>
      <w:bookmarkEnd w:id="1"/>
      <w:r>
        <w:rPr>
          <w:rFonts w:hint="eastAsia" w:ascii="宋体" w:hAnsi="宋体" w:eastAsia="宋体" w:cs="Times New Roman"/>
          <w:kern w:val="2"/>
          <w:sz w:val="21"/>
          <w:szCs w:val="21"/>
          <w:lang w:eastAsia="zh-CN"/>
        </w:rPr>
        <w:t>在供应商（以下简称供应商）参加询比响应。</w:t>
      </w:r>
    </w:p>
    <w:p w14:paraId="2593FFA1">
      <w:pPr>
        <w:widowControl w:val="0"/>
        <w:adjustRightInd w:val="0"/>
        <w:snapToGrid w:val="0"/>
        <w:spacing w:line="440" w:lineRule="exact"/>
        <w:jc w:val="left"/>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 xml:space="preserve">    1.项目概况与采购内容</w:t>
      </w:r>
    </w:p>
    <w:p w14:paraId="39C282A7">
      <w:pPr>
        <w:widowControl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1.1项目概况：</w:t>
      </w:r>
      <w:r>
        <w:rPr>
          <w:rFonts w:hint="eastAsia" w:ascii="宋体" w:hAnsi="宋体" w:eastAsia="宋体" w:cs="宋体"/>
          <w:vanish w:val="0"/>
          <w:kern w:val="2"/>
          <w:sz w:val="21"/>
          <w:szCs w:val="21"/>
          <w:lang w:eastAsia="zh-CN"/>
        </w:rPr>
        <w:t>本项目建设内容为滨北电信、翔安电信各新增一套20KW直流充电桩（含各类辅材及施工），支持6路终端。具体服务内容详见第五章技术规范书。</w:t>
      </w:r>
    </w:p>
    <w:p w14:paraId="761B1F39">
      <w:pPr>
        <w:widowControl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1.2采购内容</w:t>
      </w:r>
      <w:r>
        <w:rPr>
          <w:rFonts w:hint="eastAsia" w:ascii="宋体" w:hAnsi="宋体" w:eastAsia="宋体" w:cs="Times New Roman"/>
          <w:kern w:val="2"/>
          <w:sz w:val="21"/>
          <w:szCs w:val="21"/>
          <w:lang w:eastAsia="zh-CN"/>
        </w:rPr>
        <w:t>及标包划分情况：</w:t>
      </w:r>
      <w:r>
        <w:rPr>
          <w:rFonts w:hint="eastAsia" w:ascii="宋体" w:hAnsi="宋体" w:eastAsia="宋体" w:cs="宋体"/>
          <w:kern w:val="2"/>
          <w:sz w:val="21"/>
          <w:szCs w:val="21"/>
          <w:lang w:eastAsia="zh-CN"/>
        </w:rPr>
        <w:br w:type="textWrapping"/>
      </w:r>
      <w:r>
        <w:rPr>
          <w:rFonts w:hint="eastAsia" w:ascii="宋体" w:hAnsi="宋体" w:eastAsia="宋体" w:cs="宋体"/>
          <w:kern w:val="2"/>
          <w:sz w:val="21"/>
          <w:szCs w:val="21"/>
          <w:lang w:eastAsia="zh-CN"/>
        </w:rPr>
        <w:t xml:space="preserve">    1.2.1 </w:t>
      </w:r>
      <w:r>
        <w:rPr>
          <w:rFonts w:hint="eastAsia" w:ascii="宋体" w:hAnsi="宋体" w:eastAsia="宋体" w:cs="宋体"/>
          <w:vanish w:val="0"/>
          <w:kern w:val="2"/>
          <w:sz w:val="21"/>
          <w:szCs w:val="21"/>
          <w:lang w:eastAsia="zh-CN"/>
        </w:rPr>
        <w:t>本次采购要求具体如下：</w:t>
      </w:r>
    </w:p>
    <w:p w14:paraId="78835227">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（1）预估金额：105000元（不含税）</w:t>
      </w:r>
    </w:p>
    <w:p w14:paraId="3C5C6860">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（2）技术要求：以询比文件第五章技术规范书要求为准。</w:t>
      </w:r>
    </w:p>
    <w:p w14:paraId="10688164">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（3）服务地点：福建省厦门市采购人指定地点。</w:t>
      </w:r>
    </w:p>
    <w:p w14:paraId="0B4E91E3">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（4）★交付时限：接到甲方通知开工后100个日历日内完成建设。</w:t>
      </w:r>
    </w:p>
    <w:p w14:paraId="4E92EF38">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（5）★保修期：项目整体保修期为[ 12 ]个月，从终验证书签发之日起开始计算。</w:t>
      </w:r>
    </w:p>
    <w:p w14:paraId="075EDBDF">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（6）★质量要求：验收合格。</w:t>
      </w:r>
    </w:p>
    <w:p w14:paraId="3B994935">
      <w:pPr>
        <w:widowControl w:val="0"/>
        <w:wordWrap w:val="0"/>
        <w:adjustRightInd w:val="0"/>
        <w:snapToGrid w:val="0"/>
        <w:spacing w:line="440" w:lineRule="exact"/>
        <w:jc w:val="left"/>
        <w:rPr>
          <w:rFonts w:hint="eastAsia" w:ascii="宋体" w:hAnsi="宋体" w:eastAsia="宋体" w:cs="宋体"/>
          <w:b/>
          <w:kern w:val="2"/>
          <w:sz w:val="21"/>
          <w:szCs w:val="21"/>
          <w:lang w:eastAsia="zh-CN"/>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364"/>
        <w:gridCol w:w="1194"/>
        <w:gridCol w:w="2093"/>
        <w:gridCol w:w="1023"/>
        <w:gridCol w:w="1060"/>
        <w:gridCol w:w="1088"/>
      </w:tblGrid>
      <w:tr w14:paraId="1E67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3" w:type="dxa"/>
            <w:tcBorders>
              <w:top w:val="single" w:color="000000" w:sz="2" w:space="0"/>
              <w:left w:val="single" w:color="000000" w:sz="2" w:space="0"/>
              <w:bottom w:val="single" w:color="000000" w:sz="2" w:space="0"/>
              <w:right w:val="single" w:color="000000" w:sz="2" w:space="0"/>
            </w:tcBorders>
            <w:noWrap w:val="0"/>
            <w:vAlign w:val="center"/>
          </w:tcPr>
          <w:p w14:paraId="043C478F">
            <w:pPr>
              <w:widowControl/>
              <w:jc w:val="center"/>
              <w:rPr>
                <w:rFonts w:ascii="宋体" w:hAnsi="宋体" w:eastAsia="宋体" w:cs="宋体"/>
                <w:b/>
                <w:color w:val="000000"/>
                <w:kern w:val="0"/>
                <w:sz w:val="21"/>
                <w:lang w:eastAsia="en-US"/>
              </w:rPr>
            </w:pPr>
            <w:r>
              <w:rPr>
                <w:rFonts w:ascii="宋体" w:hAnsi="宋体" w:eastAsia="宋体" w:cs="宋体"/>
                <w:b/>
                <w:color w:val="000000"/>
                <w:kern w:val="0"/>
                <w:sz w:val="21"/>
                <w:lang w:eastAsia="en-US"/>
              </w:rPr>
              <w:t>序号</w:t>
            </w:r>
          </w:p>
        </w:tc>
        <w:tc>
          <w:tcPr>
            <w:tcW w:w="2039" w:type="dxa"/>
            <w:tcBorders>
              <w:top w:val="single" w:color="000000" w:sz="2" w:space="0"/>
              <w:left w:val="single" w:color="000000" w:sz="2" w:space="0"/>
              <w:bottom w:val="single" w:color="000000" w:sz="2" w:space="0"/>
              <w:right w:val="single" w:color="000000" w:sz="2" w:space="0"/>
            </w:tcBorders>
            <w:noWrap w:val="0"/>
            <w:vAlign w:val="center"/>
          </w:tcPr>
          <w:p w14:paraId="319B2A41">
            <w:pPr>
              <w:widowControl/>
              <w:jc w:val="center"/>
              <w:rPr>
                <w:rFonts w:ascii="宋体" w:hAnsi="宋体" w:eastAsia="宋体" w:cs="宋体"/>
                <w:b/>
                <w:color w:val="000000"/>
                <w:kern w:val="0"/>
                <w:sz w:val="21"/>
                <w:lang w:eastAsia="en-US"/>
              </w:rPr>
            </w:pPr>
            <w:r>
              <w:rPr>
                <w:rFonts w:ascii="宋体" w:hAnsi="宋体" w:eastAsia="宋体" w:cs="宋体"/>
                <w:b/>
                <w:color w:val="000000"/>
                <w:kern w:val="0"/>
                <w:sz w:val="21"/>
                <w:lang w:eastAsia="en-US"/>
              </w:rPr>
              <w:t>标包名称</w:t>
            </w:r>
          </w:p>
        </w:tc>
        <w:tc>
          <w:tcPr>
            <w:tcW w:w="1906" w:type="dxa"/>
            <w:tcBorders>
              <w:top w:val="single" w:color="000000" w:sz="2" w:space="0"/>
              <w:left w:val="single" w:color="000000" w:sz="2" w:space="0"/>
              <w:bottom w:val="single" w:color="000000" w:sz="2" w:space="0"/>
              <w:right w:val="single" w:color="000000" w:sz="2" w:space="0"/>
            </w:tcBorders>
            <w:noWrap w:val="0"/>
            <w:vAlign w:val="center"/>
          </w:tcPr>
          <w:p w14:paraId="0439ED97">
            <w:pPr>
              <w:widowControl/>
              <w:jc w:val="center"/>
              <w:rPr>
                <w:rFonts w:ascii="宋体" w:hAnsi="宋体" w:eastAsia="宋体" w:cs="宋体"/>
                <w:b/>
                <w:color w:val="000000"/>
                <w:kern w:val="0"/>
                <w:sz w:val="21"/>
                <w:lang w:eastAsia="en-US"/>
              </w:rPr>
            </w:pPr>
            <w:r>
              <w:rPr>
                <w:rFonts w:ascii="宋体" w:hAnsi="宋体" w:eastAsia="宋体" w:cs="宋体"/>
                <w:b/>
                <w:color w:val="000000"/>
                <w:kern w:val="0"/>
                <w:sz w:val="21"/>
                <w:lang w:eastAsia="en-US"/>
              </w:rPr>
              <w:t>产品名称</w:t>
            </w:r>
          </w:p>
        </w:tc>
        <w:tc>
          <w:tcPr>
            <w:tcW w:w="3638" w:type="dxa"/>
            <w:tcBorders>
              <w:top w:val="single" w:color="000000" w:sz="2" w:space="0"/>
              <w:left w:val="single" w:color="000000" w:sz="2" w:space="0"/>
              <w:bottom w:val="single" w:color="000000" w:sz="2" w:space="0"/>
              <w:right w:val="single" w:color="000000" w:sz="2" w:space="0"/>
            </w:tcBorders>
            <w:noWrap w:val="0"/>
            <w:vAlign w:val="center"/>
          </w:tcPr>
          <w:p w14:paraId="3F774415">
            <w:pPr>
              <w:widowControl/>
              <w:jc w:val="center"/>
              <w:rPr>
                <w:rFonts w:ascii="宋体" w:hAnsi="宋体" w:eastAsia="宋体" w:cs="宋体"/>
                <w:b/>
                <w:color w:val="000000"/>
                <w:kern w:val="0"/>
                <w:sz w:val="21"/>
                <w:lang w:eastAsia="en-US"/>
              </w:rPr>
            </w:pPr>
            <w:r>
              <w:rPr>
                <w:rFonts w:ascii="宋体" w:hAnsi="宋体" w:eastAsia="宋体" w:cs="宋体"/>
                <w:b/>
                <w:color w:val="000000"/>
                <w:kern w:val="0"/>
                <w:sz w:val="21"/>
                <w:lang w:eastAsia="en-US"/>
              </w:rPr>
              <w:t>规格型号</w:t>
            </w:r>
          </w:p>
        </w:tc>
        <w:tc>
          <w:tcPr>
            <w:tcW w:w="1575" w:type="dxa"/>
            <w:tcBorders>
              <w:top w:val="single" w:color="000000" w:sz="2" w:space="0"/>
              <w:left w:val="single" w:color="000000" w:sz="2" w:space="0"/>
              <w:bottom w:val="single" w:color="000000" w:sz="2" w:space="0"/>
              <w:right w:val="single" w:color="000000" w:sz="2" w:space="0"/>
            </w:tcBorders>
            <w:noWrap w:val="0"/>
            <w:vAlign w:val="center"/>
          </w:tcPr>
          <w:p w14:paraId="6B51E7A0">
            <w:pPr>
              <w:widowControl/>
              <w:jc w:val="center"/>
              <w:rPr>
                <w:rFonts w:ascii="宋体" w:hAnsi="宋体" w:eastAsia="宋体" w:cs="宋体"/>
                <w:b/>
                <w:color w:val="000000"/>
                <w:kern w:val="0"/>
                <w:sz w:val="21"/>
                <w:lang w:eastAsia="en-US"/>
              </w:rPr>
            </w:pPr>
            <w:r>
              <w:rPr>
                <w:rFonts w:ascii="宋体" w:hAnsi="宋体" w:eastAsia="宋体" w:cs="宋体"/>
                <w:b/>
                <w:color w:val="000000"/>
                <w:kern w:val="0"/>
                <w:sz w:val="21"/>
                <w:lang w:eastAsia="en-US"/>
              </w:rPr>
              <w:t>数量</w:t>
            </w:r>
          </w:p>
        </w:tc>
        <w:tc>
          <w:tcPr>
            <w:tcW w:w="1646" w:type="dxa"/>
            <w:tcBorders>
              <w:top w:val="single" w:color="000000" w:sz="2" w:space="0"/>
              <w:left w:val="single" w:color="000000" w:sz="2" w:space="0"/>
              <w:bottom w:val="single" w:color="000000" w:sz="2" w:space="0"/>
              <w:right w:val="single" w:color="000000" w:sz="2" w:space="0"/>
            </w:tcBorders>
            <w:noWrap w:val="0"/>
            <w:vAlign w:val="center"/>
          </w:tcPr>
          <w:p w14:paraId="239442CC">
            <w:pPr>
              <w:widowControl/>
              <w:jc w:val="center"/>
              <w:rPr>
                <w:rFonts w:ascii="宋体" w:hAnsi="宋体" w:eastAsia="宋体" w:cs="宋体"/>
                <w:b/>
                <w:color w:val="000000"/>
                <w:kern w:val="0"/>
                <w:sz w:val="21"/>
                <w:lang w:eastAsia="en-US"/>
              </w:rPr>
            </w:pPr>
            <w:r>
              <w:rPr>
                <w:rFonts w:ascii="宋体" w:hAnsi="宋体" w:eastAsia="宋体" w:cs="宋体"/>
                <w:b/>
                <w:color w:val="000000"/>
                <w:kern w:val="0"/>
                <w:sz w:val="21"/>
                <w:lang w:eastAsia="en-US"/>
              </w:rPr>
              <w:t>交货地点</w:t>
            </w:r>
          </w:p>
        </w:tc>
        <w:tc>
          <w:tcPr>
            <w:tcW w:w="1701" w:type="dxa"/>
            <w:tcBorders>
              <w:top w:val="single" w:color="000000" w:sz="2" w:space="0"/>
              <w:left w:val="single" w:color="000000" w:sz="2" w:space="0"/>
              <w:bottom w:val="single" w:color="000000" w:sz="2" w:space="0"/>
              <w:right w:val="single" w:color="000000" w:sz="2" w:space="0"/>
            </w:tcBorders>
            <w:noWrap w:val="0"/>
            <w:vAlign w:val="center"/>
          </w:tcPr>
          <w:p w14:paraId="78ACEB34">
            <w:pPr>
              <w:widowControl/>
              <w:jc w:val="center"/>
              <w:rPr>
                <w:rFonts w:ascii="宋体" w:hAnsi="宋体" w:eastAsia="宋体" w:cs="宋体"/>
                <w:b/>
                <w:color w:val="000000"/>
                <w:kern w:val="0"/>
                <w:sz w:val="21"/>
                <w:lang w:eastAsia="en-US"/>
              </w:rPr>
            </w:pPr>
            <w:r>
              <w:rPr>
                <w:rFonts w:ascii="宋体" w:hAnsi="宋体" w:eastAsia="宋体" w:cs="宋体"/>
                <w:b/>
                <w:color w:val="000000"/>
                <w:kern w:val="0"/>
                <w:sz w:val="21"/>
                <w:lang w:eastAsia="en-US"/>
              </w:rPr>
              <w:t>交货期</w:t>
            </w:r>
          </w:p>
        </w:tc>
      </w:tr>
      <w:tr w14:paraId="2B23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3" w:type="dxa"/>
            <w:tcBorders>
              <w:top w:val="single" w:color="000000" w:sz="2" w:space="0"/>
              <w:left w:val="single" w:color="000000" w:sz="2" w:space="0"/>
              <w:bottom w:val="single" w:color="000000" w:sz="2" w:space="0"/>
              <w:right w:val="single" w:color="000000" w:sz="2" w:space="0"/>
            </w:tcBorders>
            <w:noWrap w:val="0"/>
            <w:vAlign w:val="center"/>
          </w:tcPr>
          <w:p w14:paraId="33C0CAF0">
            <w:pPr>
              <w:widowControl/>
              <w:jc w:val="center"/>
              <w:rPr>
                <w:rFonts w:ascii="宋体" w:hAnsi="宋体" w:eastAsia="宋体" w:cs="宋体"/>
                <w:color w:val="000000"/>
                <w:kern w:val="0"/>
                <w:sz w:val="21"/>
                <w:lang w:eastAsia="en-US"/>
              </w:rPr>
            </w:pPr>
            <w:r>
              <w:rPr>
                <w:rFonts w:ascii="宋体" w:hAnsi="宋体" w:eastAsia="宋体" w:cs="宋体"/>
                <w:color w:val="000000"/>
                <w:kern w:val="0"/>
                <w:sz w:val="21"/>
                <w:lang w:eastAsia="en-US"/>
              </w:rPr>
              <w:t>1</w:t>
            </w:r>
          </w:p>
        </w:tc>
        <w:tc>
          <w:tcPr>
            <w:tcW w:w="2039" w:type="dxa"/>
            <w:tcBorders>
              <w:top w:val="single" w:color="000000" w:sz="2" w:space="0"/>
              <w:left w:val="single" w:color="000000" w:sz="2" w:space="0"/>
              <w:bottom w:val="single" w:color="000000" w:sz="2" w:space="0"/>
              <w:right w:val="single" w:color="000000" w:sz="2" w:space="0"/>
            </w:tcBorders>
            <w:noWrap w:val="0"/>
            <w:vAlign w:val="center"/>
          </w:tcPr>
          <w:p w14:paraId="267416C2">
            <w:pPr>
              <w:widowControl/>
              <w:jc w:val="center"/>
              <w:rPr>
                <w:rFonts w:ascii="宋体" w:hAnsi="宋体" w:eastAsia="宋体" w:cs="宋体"/>
                <w:color w:val="000000"/>
                <w:kern w:val="0"/>
                <w:sz w:val="21"/>
                <w:lang w:eastAsia="en-US"/>
              </w:rPr>
            </w:pPr>
            <w:r>
              <w:rPr>
                <w:rFonts w:ascii="宋体" w:hAnsi="宋体" w:eastAsia="宋体" w:cs="宋体"/>
                <w:color w:val="000000"/>
                <w:kern w:val="0"/>
                <w:sz w:val="21"/>
                <w:lang w:eastAsia="en-US"/>
              </w:rPr>
              <w:t>中国电信集团工会厦门市委员会岛内外“员工电动汽车充电桩”采购项目</w:t>
            </w:r>
          </w:p>
        </w:tc>
        <w:tc>
          <w:tcPr>
            <w:tcW w:w="1906" w:type="dxa"/>
            <w:tcBorders>
              <w:top w:val="single" w:color="000000" w:sz="2" w:space="0"/>
              <w:left w:val="single" w:color="000000" w:sz="2" w:space="0"/>
              <w:bottom w:val="single" w:color="000000" w:sz="2" w:space="0"/>
              <w:right w:val="single" w:color="000000" w:sz="2" w:space="0"/>
            </w:tcBorders>
            <w:noWrap w:val="0"/>
            <w:vAlign w:val="center"/>
          </w:tcPr>
          <w:p w14:paraId="75D8F011">
            <w:pPr>
              <w:widowControl/>
              <w:jc w:val="center"/>
              <w:rPr>
                <w:rFonts w:ascii="宋体" w:hAnsi="宋体" w:eastAsia="宋体" w:cs="宋体"/>
                <w:color w:val="000000"/>
                <w:kern w:val="0"/>
                <w:sz w:val="21"/>
                <w:lang w:eastAsia="en-US"/>
              </w:rPr>
            </w:pPr>
            <w:r>
              <w:rPr>
                <w:rFonts w:ascii="宋体" w:hAnsi="宋体" w:eastAsia="宋体" w:cs="宋体"/>
                <w:color w:val="000000"/>
                <w:kern w:val="0"/>
                <w:sz w:val="21"/>
                <w:lang w:eastAsia="en-US"/>
              </w:rPr>
              <w:t>设备采购</w:t>
            </w:r>
          </w:p>
        </w:tc>
        <w:tc>
          <w:tcPr>
            <w:tcW w:w="3638" w:type="dxa"/>
            <w:tcBorders>
              <w:top w:val="single" w:color="000000" w:sz="2" w:space="0"/>
              <w:left w:val="single" w:color="000000" w:sz="2" w:space="0"/>
              <w:bottom w:val="single" w:color="000000" w:sz="2" w:space="0"/>
              <w:right w:val="single" w:color="000000" w:sz="2" w:space="0"/>
            </w:tcBorders>
            <w:noWrap w:val="0"/>
            <w:vAlign w:val="center"/>
          </w:tcPr>
          <w:p w14:paraId="04553843">
            <w:pPr>
              <w:widowControl/>
              <w:jc w:val="center"/>
              <w:rPr>
                <w:rFonts w:ascii="宋体" w:hAnsi="宋体" w:eastAsia="宋体" w:cs="宋体"/>
                <w:color w:val="000000"/>
                <w:kern w:val="0"/>
                <w:sz w:val="21"/>
                <w:lang w:eastAsia="en-US"/>
              </w:rPr>
            </w:pPr>
            <w:r>
              <w:rPr>
                <w:rFonts w:ascii="宋体" w:hAnsi="宋体" w:eastAsia="宋体" w:cs="宋体"/>
                <w:color w:val="000000"/>
                <w:kern w:val="0"/>
                <w:sz w:val="21"/>
                <w:lang w:eastAsia="en-US"/>
              </w:rPr>
              <w:t>/</w:t>
            </w:r>
          </w:p>
        </w:tc>
        <w:tc>
          <w:tcPr>
            <w:tcW w:w="1575" w:type="dxa"/>
            <w:tcBorders>
              <w:top w:val="single" w:color="000000" w:sz="2" w:space="0"/>
              <w:left w:val="single" w:color="000000" w:sz="2" w:space="0"/>
              <w:bottom w:val="single" w:color="000000" w:sz="2" w:space="0"/>
              <w:right w:val="single" w:color="000000" w:sz="2" w:space="0"/>
            </w:tcBorders>
            <w:noWrap w:val="0"/>
            <w:vAlign w:val="center"/>
          </w:tcPr>
          <w:p w14:paraId="2FF59315">
            <w:pPr>
              <w:widowControl/>
              <w:jc w:val="center"/>
              <w:rPr>
                <w:rFonts w:ascii="宋体" w:hAnsi="宋体" w:eastAsia="宋体" w:cs="宋体"/>
                <w:color w:val="000000"/>
                <w:kern w:val="0"/>
                <w:sz w:val="21"/>
                <w:lang w:eastAsia="en-US"/>
              </w:rPr>
            </w:pPr>
            <w:r>
              <w:rPr>
                <w:rFonts w:ascii="宋体" w:hAnsi="宋体" w:eastAsia="宋体" w:cs="宋体"/>
                <w:color w:val="000000"/>
                <w:kern w:val="0"/>
                <w:sz w:val="21"/>
                <w:lang w:eastAsia="en-US"/>
              </w:rPr>
              <w:t>1项</w:t>
            </w:r>
          </w:p>
        </w:tc>
        <w:tc>
          <w:tcPr>
            <w:tcW w:w="1646" w:type="dxa"/>
            <w:tcBorders>
              <w:top w:val="single" w:color="000000" w:sz="2" w:space="0"/>
              <w:left w:val="single" w:color="000000" w:sz="2" w:space="0"/>
              <w:bottom w:val="single" w:color="000000" w:sz="2" w:space="0"/>
              <w:right w:val="single" w:color="000000" w:sz="2" w:space="0"/>
            </w:tcBorders>
            <w:noWrap w:val="0"/>
            <w:vAlign w:val="center"/>
          </w:tcPr>
          <w:p w14:paraId="7693EA9B">
            <w:pPr>
              <w:widowControl/>
              <w:jc w:val="center"/>
              <w:rPr>
                <w:rFonts w:ascii="宋体" w:hAnsi="宋体" w:eastAsia="宋体" w:cs="宋体"/>
                <w:color w:val="000000"/>
                <w:kern w:val="0"/>
                <w:sz w:val="21"/>
                <w:lang w:eastAsia="en-US"/>
              </w:rPr>
            </w:pPr>
            <w:r>
              <w:rPr>
                <w:rFonts w:ascii="宋体" w:hAnsi="宋体" w:eastAsia="宋体" w:cs="宋体"/>
                <w:color w:val="000000"/>
                <w:kern w:val="0"/>
                <w:sz w:val="21"/>
                <w:lang w:eastAsia="en-US"/>
              </w:rPr>
              <w:t>/</w:t>
            </w:r>
          </w:p>
        </w:tc>
        <w:tc>
          <w:tcPr>
            <w:tcW w:w="1701" w:type="dxa"/>
            <w:tcBorders>
              <w:top w:val="single" w:color="000000" w:sz="2" w:space="0"/>
              <w:left w:val="single" w:color="000000" w:sz="2" w:space="0"/>
              <w:bottom w:val="single" w:color="000000" w:sz="2" w:space="0"/>
              <w:right w:val="single" w:color="000000" w:sz="2" w:space="0"/>
            </w:tcBorders>
            <w:noWrap w:val="0"/>
            <w:vAlign w:val="center"/>
          </w:tcPr>
          <w:p w14:paraId="77013623">
            <w:pPr>
              <w:widowControl/>
              <w:jc w:val="center"/>
              <w:rPr>
                <w:rFonts w:ascii="宋体" w:hAnsi="宋体" w:eastAsia="宋体" w:cs="宋体"/>
                <w:color w:val="000000"/>
                <w:kern w:val="0"/>
                <w:sz w:val="21"/>
                <w:lang w:eastAsia="en-US"/>
              </w:rPr>
            </w:pPr>
            <w:r>
              <w:rPr>
                <w:rFonts w:ascii="宋体" w:hAnsi="宋体" w:eastAsia="宋体" w:cs="宋体"/>
                <w:color w:val="000000"/>
                <w:kern w:val="0"/>
                <w:sz w:val="21"/>
                <w:lang w:eastAsia="en-US"/>
              </w:rPr>
              <w:t>/</w:t>
            </w:r>
          </w:p>
        </w:tc>
      </w:tr>
    </w:tbl>
    <w:p w14:paraId="2BD79ADA">
      <w:pPr>
        <w:widowControl w:val="0"/>
        <w:wordWrap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br w:type="textWrapping"/>
      </w:r>
      <w:r>
        <w:rPr>
          <w:rFonts w:hint="eastAsia" w:ascii="宋体" w:hAnsi="宋体" w:eastAsia="宋体" w:cs="宋体"/>
          <w:kern w:val="2"/>
          <w:sz w:val="21"/>
          <w:szCs w:val="21"/>
          <w:lang w:eastAsia="zh-CN"/>
        </w:rPr>
        <w:t xml:space="preserve">    本项目</w:t>
      </w:r>
      <w:r>
        <w:rPr>
          <w:rFonts w:hint="eastAsia" w:ascii="宋体" w:hAnsi="宋体" w:eastAsia="宋体" w:cs="宋体"/>
          <w:vanish w:val="0"/>
          <w:kern w:val="2"/>
          <w:sz w:val="21"/>
          <w:szCs w:val="21"/>
          <w:lang w:eastAsia="zh-CN"/>
        </w:rPr>
        <w:t>不划分标包</w:t>
      </w:r>
      <w:r>
        <w:rPr>
          <w:rFonts w:hint="eastAsia" w:ascii="宋体" w:hAnsi="宋体" w:eastAsia="宋体" w:cs="宋体"/>
          <w:kern w:val="2"/>
          <w:sz w:val="21"/>
          <w:szCs w:val="21"/>
          <w:lang w:eastAsia="zh-CN"/>
        </w:rPr>
        <w:t>。</w:t>
      </w:r>
      <w:r>
        <w:rPr>
          <w:rFonts w:hint="eastAsia" w:ascii="宋体" w:hAnsi="宋体" w:eastAsia="宋体" w:cs="宋体"/>
          <w:kern w:val="2"/>
          <w:sz w:val="21"/>
          <w:szCs w:val="21"/>
          <w:lang w:eastAsia="zh-CN"/>
        </w:rPr>
        <w:br w:type="textWrapping"/>
      </w:r>
      <w:r>
        <w:rPr>
          <w:rFonts w:hint="eastAsia" w:ascii="宋体" w:hAnsi="宋体" w:eastAsia="宋体" w:cs="宋体"/>
          <w:vanish w:val="0"/>
          <w:kern w:val="2"/>
          <w:sz w:val="21"/>
          <w:szCs w:val="21"/>
          <w:lang w:eastAsia="zh-CN"/>
        </w:rPr>
        <w:t xml:space="preserve">    本项目将按照最新的《中国电信供应商不良行为管理规则》执行供应商不良行为处理结果，请重点关注处理结果适用的供应商主体、被处理产品、处理范围、禁限期等关键内容，请务必登录中国电信阳光采购网（https://caigou.chinatelecom.com.cn）查阅《中国电信供应商不良行为管理规则》。</w:t>
      </w:r>
      <w:r>
        <w:rPr>
          <w:rFonts w:hint="eastAsia" w:ascii="宋体" w:hAnsi="宋体" w:eastAsia="宋体" w:cs="宋体"/>
          <w:vanish w:val="0"/>
          <w:kern w:val="2"/>
          <w:sz w:val="21"/>
          <w:szCs w:val="21"/>
          <w:lang w:eastAsia="zh-CN"/>
        </w:rPr>
        <w:br w:type="textWrapping"/>
      </w:r>
      <w:r>
        <w:rPr>
          <w:rFonts w:hint="eastAsia" w:ascii="宋体" w:hAnsi="宋体" w:eastAsia="宋体" w:cs="宋体"/>
          <w:vanish w:val="0"/>
          <w:kern w:val="2"/>
          <w:sz w:val="21"/>
          <w:szCs w:val="21"/>
          <w:lang w:eastAsia="zh-CN"/>
        </w:rPr>
        <w:t xml:space="preserve">    1.2.2成交供应商数量：1个，每个成交供应商对应的份额如下：</w:t>
      </w:r>
      <w:r>
        <w:rPr>
          <w:rFonts w:hint="eastAsia" w:ascii="宋体" w:hAnsi="宋体" w:eastAsia="宋体" w:cs="宋体"/>
          <w:vanish w:val="0"/>
          <w:kern w:val="2"/>
          <w:sz w:val="21"/>
          <w:szCs w:val="21"/>
          <w:lang w:eastAsia="zh-CN"/>
        </w:rPr>
        <w:br w:type="textWrapping"/>
      </w:r>
      <w:r>
        <w:rPr>
          <w:rFonts w:hint="eastAsia" w:ascii="宋体" w:hAnsi="宋体" w:eastAsia="宋体" w:cs="宋体"/>
          <w:vanish w:val="0"/>
          <w:kern w:val="2"/>
          <w:sz w:val="21"/>
          <w:szCs w:val="21"/>
          <w:lang w:eastAsia="zh-CN"/>
        </w:rPr>
        <w:t>[100%]</w:t>
      </w:r>
      <w:r>
        <w:rPr>
          <w:rFonts w:hint="eastAsia" w:ascii="宋体" w:hAnsi="宋体" w:eastAsia="宋体" w:cs="宋体"/>
          <w:vanish w:val="0"/>
          <w:kern w:val="2"/>
          <w:sz w:val="21"/>
          <w:szCs w:val="21"/>
          <w:lang w:eastAsia="zh-CN"/>
        </w:rPr>
        <w:br w:type="textWrapping"/>
      </w:r>
      <w:r>
        <w:rPr>
          <w:rFonts w:hint="eastAsia" w:ascii="宋体" w:hAnsi="宋体" w:eastAsia="宋体" w:cs="宋体"/>
          <w:kern w:val="2"/>
          <w:sz w:val="21"/>
          <w:szCs w:val="21"/>
          <w:lang w:eastAsia="zh-CN"/>
        </w:rPr>
        <w:t xml:space="preserve">    1.3本项目</w:t>
      </w:r>
      <w:r>
        <w:rPr>
          <w:rFonts w:hint="eastAsia" w:ascii="宋体" w:hAnsi="宋体" w:eastAsia="宋体" w:cs="宋体"/>
          <w:vanish w:val="0"/>
          <w:kern w:val="2"/>
          <w:sz w:val="21"/>
          <w:szCs w:val="21"/>
          <w:lang w:eastAsia="zh-CN"/>
        </w:rPr>
        <w:t>设置最高响应限价</w:t>
      </w:r>
      <w:r>
        <w:rPr>
          <w:rFonts w:hint="eastAsia" w:ascii="宋体" w:hAnsi="宋体" w:eastAsia="宋体" w:cs="宋体"/>
          <w:kern w:val="2"/>
          <w:sz w:val="21"/>
          <w:szCs w:val="21"/>
          <w:lang w:eastAsia="zh-CN"/>
        </w:rPr>
        <w:t>。</w:t>
      </w:r>
      <w:r>
        <w:rPr>
          <w:rFonts w:hint="eastAsia" w:ascii="宋体" w:hAnsi="宋体" w:eastAsia="宋体" w:cs="宋体"/>
          <w:vanish w:val="0"/>
          <w:kern w:val="2"/>
          <w:sz w:val="21"/>
          <w:szCs w:val="21"/>
          <w:lang w:eastAsia="zh-CN"/>
        </w:rPr>
        <w:t>最高响应限价为105000元（不含税），</w:t>
      </w:r>
      <w:r>
        <w:rPr>
          <w:rFonts w:hint="eastAsia" w:ascii="宋体" w:hAnsi="宋体" w:eastAsia="宋体" w:cs="Times New Roman"/>
          <w:vanish w:val="0"/>
          <w:kern w:val="2"/>
          <w:sz w:val="21"/>
          <w:szCs w:val="21"/>
          <w:lang w:eastAsia="zh-CN"/>
        </w:rPr>
        <w:t>供应商响应报价高于最高响应限价的，其响应</w:t>
      </w:r>
      <w:r>
        <w:rPr>
          <w:rFonts w:hint="eastAsia" w:ascii="宋体" w:hAnsi="宋体" w:eastAsia="宋体" w:cs="宋体"/>
          <w:vanish w:val="0"/>
          <w:kern w:val="2"/>
          <w:sz w:val="21"/>
          <w:szCs w:val="21"/>
          <w:lang w:eastAsia="zh-CN"/>
        </w:rPr>
        <w:t>将被否决。</w:t>
      </w:r>
      <w:r>
        <w:rPr>
          <w:rFonts w:hint="eastAsia" w:ascii="宋体" w:hAnsi="宋体" w:eastAsia="宋体" w:cs="宋体"/>
          <w:b/>
          <w:kern w:val="2"/>
          <w:sz w:val="21"/>
          <w:szCs w:val="21"/>
          <w:lang w:eastAsia="zh-CN"/>
        </w:rPr>
        <w:br w:type="textWrapping"/>
      </w:r>
      <w:r>
        <w:rPr>
          <w:rFonts w:hint="eastAsia" w:ascii="宋体" w:hAnsi="宋体" w:eastAsia="宋体" w:cs="宋体"/>
          <w:b/>
          <w:kern w:val="2"/>
          <w:sz w:val="21"/>
          <w:szCs w:val="21"/>
          <w:lang w:eastAsia="zh-CN"/>
        </w:rPr>
        <w:t xml:space="preserve">    2.供应商资格要求</w:t>
      </w:r>
    </w:p>
    <w:p w14:paraId="029A4D79">
      <w:pPr>
        <w:widowControl w:val="0"/>
        <w:adjustRightInd w:val="0"/>
        <w:snapToGrid w:val="0"/>
        <w:spacing w:line="440" w:lineRule="exact"/>
        <w:jc w:val="left"/>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 xml:space="preserve">    2.1供应商基本资格要求</w:t>
      </w:r>
    </w:p>
    <w:p w14:paraId="749ADEEA">
      <w:pPr>
        <w:widowControl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2.1.1 </w:t>
      </w:r>
      <w:r>
        <w:rPr>
          <w:rFonts w:hint="eastAsia" w:ascii="宋体" w:hAnsi="宋体" w:eastAsia="宋体" w:cs="Times New Roman"/>
          <w:kern w:val="2"/>
          <w:sz w:val="21"/>
          <w:szCs w:val="21"/>
          <w:lang w:eastAsia="zh-CN"/>
        </w:rPr>
        <w:t>供应商</w:t>
      </w:r>
      <w:r>
        <w:rPr>
          <w:rFonts w:hint="eastAsia" w:ascii="宋体" w:hAnsi="宋体" w:eastAsia="宋体" w:cs="宋体"/>
          <w:kern w:val="2"/>
          <w:sz w:val="21"/>
          <w:szCs w:val="21"/>
          <w:lang w:eastAsia="zh-CN"/>
        </w:rPr>
        <w:t>应为</w:t>
      </w:r>
      <w:r>
        <w:rPr>
          <w:rFonts w:hint="eastAsia" w:ascii="宋体" w:hAnsi="宋体" w:eastAsia="宋体" w:cs="宋体"/>
          <w:vanish w:val="0"/>
          <w:kern w:val="2"/>
          <w:sz w:val="21"/>
          <w:szCs w:val="21"/>
          <w:lang w:eastAsia="zh-CN"/>
        </w:rPr>
        <w:t>中华人民共和国境内</w:t>
      </w:r>
      <w:r>
        <w:rPr>
          <w:rFonts w:hint="eastAsia" w:ascii="宋体" w:hAnsi="宋体" w:eastAsia="宋体" w:cs="宋体"/>
          <w:kern w:val="2"/>
          <w:sz w:val="21"/>
          <w:szCs w:val="21"/>
          <w:lang w:eastAsia="zh-CN"/>
        </w:rPr>
        <w:t>法律上和财务上独立的法人或依法登记注册的其他组织，合法运作并独立于采购人和采购代理机构。</w:t>
      </w:r>
      <w:r>
        <w:rPr>
          <w:rFonts w:hint="eastAsia" w:ascii="宋体" w:hAnsi="宋体" w:eastAsia="宋体" w:cs="宋体"/>
          <w:kern w:val="2"/>
          <w:sz w:val="21"/>
          <w:szCs w:val="21"/>
          <w:lang w:eastAsia="zh-CN"/>
        </w:rPr>
        <w:br w:type="textWrapping"/>
      </w:r>
      <w:r>
        <w:rPr>
          <w:rFonts w:hint="eastAsia" w:ascii="宋体" w:hAnsi="宋体" w:eastAsia="宋体" w:cs="宋体"/>
          <w:kern w:val="2"/>
          <w:sz w:val="21"/>
          <w:szCs w:val="21"/>
          <w:lang w:eastAsia="zh-CN"/>
        </w:rPr>
        <w:t xml:space="preserve">    2.1.2 </w:t>
      </w:r>
      <w:r>
        <w:rPr>
          <w:rFonts w:hint="eastAsia" w:ascii="宋体" w:hAnsi="宋体" w:eastAsia="宋体" w:cs="Times New Roman"/>
          <w:kern w:val="2"/>
          <w:sz w:val="21"/>
          <w:szCs w:val="21"/>
          <w:lang w:eastAsia="zh-CN"/>
        </w:rPr>
        <w:t>供应商</w:t>
      </w:r>
      <w:r>
        <w:rPr>
          <w:rFonts w:hint="eastAsia" w:ascii="宋体" w:hAnsi="宋体" w:eastAsia="宋体" w:cs="宋体"/>
          <w:kern w:val="2"/>
          <w:sz w:val="21"/>
          <w:szCs w:val="21"/>
          <w:lang w:eastAsia="zh-CN"/>
        </w:rPr>
        <w:t>的法定代表人或负责人为同一人或者存在控股、管理关系的不同</w:t>
      </w:r>
      <w:r>
        <w:rPr>
          <w:rFonts w:hint="eastAsia" w:ascii="宋体" w:hAnsi="宋体" w:eastAsia="宋体" w:cs="Times New Roman"/>
          <w:kern w:val="2"/>
          <w:sz w:val="21"/>
          <w:szCs w:val="21"/>
          <w:lang w:eastAsia="zh-CN"/>
        </w:rPr>
        <w:t>供应商</w:t>
      </w:r>
      <w:r>
        <w:rPr>
          <w:rFonts w:hint="eastAsia" w:ascii="宋体" w:hAnsi="宋体" w:eastAsia="宋体" w:cs="宋体"/>
          <w:kern w:val="2"/>
          <w:sz w:val="21"/>
          <w:szCs w:val="21"/>
          <w:lang w:eastAsia="zh-CN"/>
        </w:rPr>
        <w:t>，不得参加同一标包响应或者未划分标包的同一询比项目响应。</w:t>
      </w:r>
      <w:r>
        <w:rPr>
          <w:rFonts w:hint="eastAsia" w:ascii="宋体" w:hAnsi="宋体" w:eastAsia="宋体" w:cs="宋体"/>
          <w:kern w:val="2"/>
          <w:sz w:val="21"/>
          <w:szCs w:val="21"/>
          <w:lang w:eastAsia="zh-CN"/>
        </w:rPr>
        <w:br w:type="textWrapping"/>
      </w:r>
      <w:r>
        <w:rPr>
          <w:rFonts w:hint="eastAsia" w:ascii="宋体" w:hAnsi="宋体" w:eastAsia="宋体" w:cs="宋体"/>
          <w:kern w:val="2"/>
          <w:sz w:val="21"/>
          <w:szCs w:val="21"/>
          <w:lang w:eastAsia="zh-CN"/>
        </w:rPr>
        <w:t xml:space="preserve">    2.1.3 本次询比</w:t>
      </w:r>
      <w:r>
        <w:rPr>
          <w:rFonts w:hint="eastAsia" w:ascii="宋体" w:hAnsi="宋体" w:eastAsia="宋体" w:cs="宋体"/>
          <w:vanish w:val="0"/>
          <w:kern w:val="2"/>
          <w:sz w:val="21"/>
          <w:szCs w:val="21"/>
          <w:lang w:eastAsia="zh-CN"/>
        </w:rPr>
        <w:t>不接受</w:t>
      </w:r>
      <w:r>
        <w:rPr>
          <w:rFonts w:hint="eastAsia" w:ascii="宋体" w:hAnsi="宋体" w:eastAsia="宋体" w:cs="宋体"/>
          <w:kern w:val="2"/>
          <w:sz w:val="21"/>
          <w:szCs w:val="21"/>
          <w:lang w:eastAsia="zh-CN"/>
        </w:rPr>
        <w:t>联合体响应。</w:t>
      </w:r>
      <w:r>
        <w:rPr>
          <w:rFonts w:hint="eastAsia" w:ascii="宋体" w:hAnsi="宋体" w:eastAsia="宋体" w:cs="宋体"/>
          <w:kern w:val="2"/>
          <w:sz w:val="21"/>
          <w:szCs w:val="21"/>
          <w:lang w:eastAsia="zh-CN"/>
        </w:rPr>
        <w:br w:type="textWrapping"/>
      </w:r>
      <w:r>
        <w:rPr>
          <w:rFonts w:hint="eastAsia" w:ascii="宋体" w:hAnsi="宋体" w:eastAsia="宋体" w:cs="宋体"/>
          <w:kern w:val="2"/>
          <w:sz w:val="21"/>
          <w:szCs w:val="21"/>
          <w:lang w:eastAsia="zh-CN"/>
        </w:rPr>
        <w:t xml:space="preserve">    2.1.4 本次询比</w:t>
      </w:r>
      <w:r>
        <w:rPr>
          <w:rFonts w:hint="eastAsia" w:ascii="宋体" w:hAnsi="宋体" w:eastAsia="宋体" w:cs="宋体"/>
          <w:vanish w:val="0"/>
          <w:kern w:val="2"/>
          <w:sz w:val="21"/>
          <w:szCs w:val="21"/>
          <w:lang w:eastAsia="zh-CN"/>
        </w:rPr>
        <w:t>接受代理商响应。代理商响应的，应满足下列要求：</w:t>
      </w:r>
      <w:r>
        <w:rPr>
          <w:rFonts w:hint="eastAsia" w:ascii="宋体" w:hAnsi="宋体" w:eastAsia="宋体" w:cs="宋体"/>
          <w:kern w:val="2"/>
          <w:sz w:val="21"/>
          <w:szCs w:val="21"/>
          <w:lang w:eastAsia="zh-CN"/>
        </w:rPr>
        <w:br w:type="textWrapping"/>
      </w:r>
      <w:r>
        <w:rPr>
          <w:rFonts w:hint="eastAsia" w:ascii="宋体" w:hAnsi="宋体" w:eastAsia="宋体" w:cs="宋体"/>
          <w:vanish w:val="0"/>
          <w:kern w:val="2"/>
          <w:sz w:val="21"/>
          <w:szCs w:val="21"/>
          <w:lang w:eastAsia="zh-CN"/>
        </w:rPr>
        <w:t xml:space="preserve">    （1）【本项目】的核心产品【小功率直流充电机】）仅允许代理唯一制造商响应，且该制造商不得再自行响应或再委托其它供应商响应。</w:t>
      </w:r>
      <w:r>
        <w:rPr>
          <w:rFonts w:hint="eastAsia" w:ascii="宋体" w:hAnsi="宋体" w:eastAsia="宋体" w:cs="宋体"/>
          <w:vanish w:val="0"/>
          <w:kern w:val="2"/>
          <w:sz w:val="21"/>
          <w:szCs w:val="21"/>
          <w:lang w:eastAsia="zh-CN"/>
        </w:rPr>
        <w:br w:type="textWrapping"/>
      </w:r>
      <w:r>
        <w:rPr>
          <w:rFonts w:hint="eastAsia" w:ascii="宋体" w:hAnsi="宋体" w:eastAsia="宋体" w:cs="宋体"/>
          <w:vanish w:val="0"/>
          <w:kern w:val="2"/>
          <w:sz w:val="21"/>
          <w:szCs w:val="21"/>
          <w:lang w:eastAsia="zh-CN"/>
        </w:rPr>
        <w:t xml:space="preserve">     2.1.5 响应产品所涉知识产权应保证不存在权利瑕疵，不侵害第三方专利权、商标权、著作权或其他任何形式的合法权益，并提供《知识产权不侵权承诺函》。响应产品【小功率直流充电机】为代理商响应的，还需提供制造商针对上述条款出具的承诺函。</w:t>
      </w:r>
    </w:p>
    <w:p w14:paraId="4F007D29">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2.1.6本项目要求供应商具备以下资质：</w:t>
      </w:r>
    </w:p>
    <w:p w14:paraId="4DF01A61">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（1）住房和城乡建设主管部门核发的有效期内的“电力工程施工总承包叁级或以上资质”。</w:t>
      </w:r>
    </w:p>
    <w:p w14:paraId="4AF5F27D">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（2）住房和城乡建设主管部门核发的有效期内“安全生产许可证”。</w:t>
      </w:r>
    </w:p>
    <w:p w14:paraId="1BF96F14">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 xml:space="preserve"> 注：上述证书如已按国家发布的《建设工程企业资质管理制度改革方案》进行换证，则按照相应政策调整文件认定企业资质。</w:t>
      </w:r>
    </w:p>
    <w:p w14:paraId="16D0AD83">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至响应截止时间，若企业的资质证书上注明的有效期已超期的（若证书已延续成功但尚未发放新证的，需同时提供延续证明材料扫描件）：</w:t>
      </w:r>
    </w:p>
    <w:p w14:paraId="6FE0600B">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 xml:space="preserve">1）住房城乡建设部审批核发的建设工程企业资质，应提供住房城乡建设部发布的资质延期文件。 </w:t>
      </w:r>
    </w:p>
    <w:p w14:paraId="4DAB6730">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2）各级资质审批部门在审批权限内核发的建设工程企业资质，应提供相应资质审批部门或其上级部门发布的资质延期文件。</w:t>
      </w:r>
    </w:p>
    <w:p w14:paraId="7822189D">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 xml:space="preserve">2.1.7供应商需具备国家能源局核发的有效的《承装（修、试）电力设施许可证》（许可类别和等级包含：承装类、承修类、承试类三级或以上）。 注：需提供电子证照。 </w:t>
      </w:r>
    </w:p>
    <w:p w14:paraId="656B228E">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2.1.8本项目要求供应商满足以下人员要求：</w:t>
      </w:r>
    </w:p>
    <w:p w14:paraId="1244C67F">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（1）企业主要负责人：具备1人，具备住房和城乡建设主管部门颁发有效的安全生产考核合格证书（A证）；</w:t>
      </w:r>
    </w:p>
    <w:p w14:paraId="39754428">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（2）项目负责人：配备1人，具备住房和城乡建设主管部门颁发有效的安全生产考核合格证书（B证）和二级或以上注册建造师（机电工程专业）；</w:t>
      </w:r>
    </w:p>
    <w:p w14:paraId="18D1D4B2">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（3）专职安全员：配备1人，具备住房和城乡建设主管部门颁发有效的安全生产考核合格证书（C证）。</w:t>
      </w:r>
    </w:p>
    <w:p w14:paraId="792C1E9E">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注：企业主要负责人、项目负责人、专职安全员应为专职专岗。</w:t>
      </w:r>
    </w:p>
    <w:p w14:paraId="529CBF80">
      <w:pPr>
        <w:widowControl w:val="0"/>
        <w:adjustRightInd w:val="0"/>
        <w:snapToGrid w:val="0"/>
        <w:spacing w:line="440" w:lineRule="exact"/>
        <w:jc w:val="left"/>
        <w:rPr>
          <w:rFonts w:hint="eastAsia" w:ascii="宋体" w:hAnsi="宋体" w:eastAsia="宋体" w:cs="宋体"/>
          <w:vanish w:val="0"/>
          <w:kern w:val="2"/>
          <w:sz w:val="21"/>
          <w:szCs w:val="21"/>
          <w:lang w:eastAsia="zh-CN"/>
        </w:rPr>
      </w:pPr>
      <w:r>
        <w:rPr>
          <w:rFonts w:hint="eastAsia" w:ascii="宋体" w:hAnsi="宋体" w:eastAsia="宋体" w:cs="宋体"/>
          <w:vanish w:val="0"/>
          <w:kern w:val="2"/>
          <w:sz w:val="21"/>
          <w:szCs w:val="21"/>
          <w:lang w:eastAsia="zh-CN"/>
        </w:rPr>
        <w:t>2.1.9供应商需为本项目配置的一支施工队伍，施工队伍不少于4名施工人员，施工队伍中至少有2名持有应急管理部核发有效的中华人民共和国特种作业操作证（准操项目：低压电工作业）。注：施工人员应为专职专岗，不得与三类安管人员重复。</w:t>
      </w:r>
      <w:r>
        <w:rPr>
          <w:rFonts w:hint="eastAsia" w:ascii="宋体" w:hAnsi="宋体" w:eastAsia="宋体" w:cs="宋体"/>
          <w:vanish w:val="0"/>
          <w:kern w:val="2"/>
          <w:sz w:val="21"/>
          <w:szCs w:val="21"/>
          <w:lang w:eastAsia="zh-CN"/>
        </w:rPr>
        <w:br w:type="textWrapping"/>
      </w:r>
      <w:r>
        <w:rPr>
          <w:rFonts w:hint="eastAsia" w:ascii="宋体" w:hAnsi="宋体" w:eastAsia="宋体" w:cs="宋体"/>
          <w:b/>
          <w:kern w:val="2"/>
          <w:sz w:val="21"/>
          <w:szCs w:val="21"/>
          <w:lang w:eastAsia="zh-CN"/>
        </w:rPr>
        <w:t xml:space="preserve">    2.2供应商不得存在下列情形之一</w:t>
      </w:r>
    </w:p>
    <w:p w14:paraId="341A2DA7">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 为采购人不具有独立法人资格的附属机构（单位）；</w:t>
      </w:r>
    </w:p>
    <w:p w14:paraId="6B56365C">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（2） 被依法暂停或取消</w:t>
      </w:r>
      <w:r>
        <w:rPr>
          <w:rFonts w:hint="eastAsia" w:ascii="宋体" w:hAnsi="宋体" w:eastAsia="宋体" w:cs="Times New Roman"/>
          <w:kern w:val="2"/>
          <w:sz w:val="21"/>
          <w:szCs w:val="21"/>
          <w:lang w:eastAsia="zh-CN"/>
        </w:rPr>
        <w:t>投标/</w:t>
      </w:r>
      <w:r>
        <w:rPr>
          <w:rFonts w:hint="eastAsia" w:ascii="宋体" w:hAnsi="宋体" w:eastAsia="宋体" w:cs="宋体"/>
          <w:kern w:val="2"/>
          <w:sz w:val="21"/>
          <w:szCs w:val="21"/>
          <w:lang w:eastAsia="zh-CN"/>
        </w:rPr>
        <w:t>响应资格的；</w:t>
      </w:r>
    </w:p>
    <w:p w14:paraId="65704754">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（3） 被责令停产停业、暂扣或者吊销许可证、暂扣或者吊销执照；</w:t>
      </w:r>
    </w:p>
    <w:p w14:paraId="1F6D4E8A">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（4） 进入清算程序，或被宣告破产，或其他丧失履约能力的情形；</w:t>
      </w:r>
    </w:p>
    <w:p w14:paraId="3F6AC2A0">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 在最近三年内（自</w:t>
      </w:r>
      <w:r>
        <w:rPr>
          <w:rFonts w:hint="eastAsia" w:ascii="宋体" w:hAnsi="宋体" w:eastAsia="宋体" w:cs="宋体"/>
          <w:vanish w:val="0"/>
          <w:kern w:val="2"/>
          <w:sz w:val="21"/>
          <w:szCs w:val="21"/>
          <w:lang w:eastAsia="zh-CN"/>
        </w:rPr>
        <w:t>2023年06月08日</w:t>
      </w:r>
      <w:r>
        <w:rPr>
          <w:rFonts w:hint="eastAsia" w:ascii="宋体" w:hAnsi="宋体" w:eastAsia="宋体" w:cs="宋体"/>
          <w:kern w:val="2"/>
          <w:sz w:val="21"/>
          <w:szCs w:val="21"/>
          <w:lang w:eastAsia="zh-CN"/>
        </w:rPr>
        <w:t>起）被相关行业主管部门或司法机关认定有骗取</w:t>
      </w:r>
      <w:r>
        <w:rPr>
          <w:rFonts w:hint="eastAsia" w:ascii="宋体" w:hAnsi="宋体" w:eastAsia="宋体" w:cs="Times New Roman"/>
          <w:kern w:val="2"/>
          <w:sz w:val="21"/>
          <w:szCs w:val="21"/>
          <w:lang w:eastAsia="zh-CN"/>
        </w:rPr>
        <w:t>中标/成交</w:t>
      </w:r>
      <w:r>
        <w:rPr>
          <w:rFonts w:hint="eastAsia" w:ascii="宋体" w:hAnsi="宋体" w:eastAsia="宋体" w:cs="宋体"/>
          <w:kern w:val="2"/>
          <w:sz w:val="21"/>
          <w:szCs w:val="21"/>
          <w:lang w:eastAsia="zh-CN"/>
        </w:rPr>
        <w:t>、严重违约、重大工程质量或者安全问题的；</w:t>
      </w:r>
    </w:p>
    <w:p w14:paraId="7DB93A54">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（6） 在最近五年内（自</w:t>
      </w:r>
      <w:r>
        <w:rPr>
          <w:rFonts w:hint="eastAsia" w:ascii="宋体" w:hAnsi="宋体" w:eastAsia="宋体" w:cs="宋体"/>
          <w:vanish w:val="0"/>
          <w:kern w:val="2"/>
          <w:sz w:val="21"/>
          <w:szCs w:val="21"/>
          <w:lang w:eastAsia="zh-CN"/>
        </w:rPr>
        <w:t>2021年06月08日</w:t>
      </w:r>
      <w:r>
        <w:rPr>
          <w:rFonts w:hint="eastAsia" w:ascii="宋体" w:hAnsi="宋体" w:eastAsia="宋体" w:cs="宋体"/>
          <w:kern w:val="2"/>
          <w:sz w:val="21"/>
          <w:szCs w:val="21"/>
          <w:lang w:eastAsia="zh-CN"/>
        </w:rPr>
        <w:t>起）被判处单位行贿罪，且行贿行为与采购活动相关的（以“中国裁判文书网”的生效判决为准）；</w:t>
      </w:r>
    </w:p>
    <w:p w14:paraId="45FFB049">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（7） 在最近五年内（自</w:t>
      </w:r>
      <w:r>
        <w:rPr>
          <w:rFonts w:hint="eastAsia" w:ascii="宋体" w:hAnsi="宋体" w:eastAsia="宋体" w:cs="宋体"/>
          <w:vanish w:val="0"/>
          <w:kern w:val="2"/>
          <w:sz w:val="21"/>
          <w:szCs w:val="21"/>
          <w:lang w:eastAsia="zh-CN"/>
        </w:rPr>
        <w:t>2021年06月08日</w:t>
      </w:r>
      <w:r>
        <w:rPr>
          <w:rFonts w:hint="eastAsia" w:ascii="宋体" w:hAnsi="宋体" w:eastAsia="宋体" w:cs="宋体"/>
          <w:kern w:val="2"/>
          <w:sz w:val="21"/>
          <w:szCs w:val="21"/>
          <w:lang w:eastAsia="zh-CN"/>
        </w:rPr>
        <w:t>起）被判处合同诈骗罪的（以“中国裁判文书网”的生效判决为准）；</w:t>
      </w:r>
    </w:p>
    <w:p w14:paraId="7D1ABF73">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（8） 被最高人民法院在“信用中国”网站（www.creditchina.gov.cn）或各级信用信息共享平台中列入失信被执行人名单，已执行完毕或不再执行的除外；</w:t>
      </w:r>
    </w:p>
    <w:p w14:paraId="062FA44E">
      <w:pPr>
        <w:widowControl w:val="0"/>
        <w:tabs>
          <w:tab w:val="left" w:pos="0"/>
          <w:tab w:val="left" w:pos="570"/>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（9） </w:t>
      </w:r>
      <w:r>
        <w:rPr>
          <w:rFonts w:hint="eastAsia" w:ascii="宋体" w:hAnsi="宋体" w:eastAsia="宋体" w:cs="Times New Roman"/>
          <w:kern w:val="2"/>
          <w:sz w:val="21"/>
          <w:szCs w:val="21"/>
          <w:lang w:eastAsia="zh-CN"/>
        </w:rPr>
        <w:t>为本询比项目提供过设计、编制技术规范和其他文件的咨询服务</w:t>
      </w:r>
      <w:r>
        <w:rPr>
          <w:rFonts w:hint="eastAsia" w:ascii="宋体" w:hAnsi="宋体" w:eastAsia="宋体" w:cs="宋体"/>
          <w:kern w:val="2"/>
          <w:sz w:val="21"/>
          <w:szCs w:val="21"/>
          <w:lang w:eastAsia="zh-CN"/>
        </w:rPr>
        <w:t>；</w:t>
      </w:r>
    </w:p>
    <w:p w14:paraId="6CBEEBD2">
      <w:pPr>
        <w:widowControl w:val="0"/>
        <w:tabs>
          <w:tab w:val="left" w:pos="0"/>
          <w:tab w:val="left" w:pos="1146"/>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（10） 为本工程项目的相关监理人，或者与本工程项目的相关监理人存在隶属关系或者其他利害关系；</w:t>
      </w:r>
    </w:p>
    <w:p w14:paraId="7369CCEC">
      <w:pPr>
        <w:widowControl w:val="0"/>
        <w:tabs>
          <w:tab w:val="left" w:pos="0"/>
          <w:tab w:val="left" w:pos="1146"/>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（11） </w:t>
      </w:r>
      <w:r>
        <w:rPr>
          <w:rFonts w:hint="eastAsia" w:ascii="宋体" w:hAnsi="宋体" w:eastAsia="宋体" w:cs="Times New Roman"/>
          <w:kern w:val="2"/>
          <w:sz w:val="21"/>
          <w:szCs w:val="21"/>
          <w:lang w:eastAsia="zh-CN"/>
        </w:rPr>
        <w:t>为本询比项目的代建人</w:t>
      </w:r>
      <w:r>
        <w:rPr>
          <w:rFonts w:hint="eastAsia" w:ascii="宋体" w:hAnsi="宋体" w:eastAsia="宋体" w:cs="宋体"/>
          <w:kern w:val="2"/>
          <w:sz w:val="21"/>
          <w:szCs w:val="21"/>
          <w:lang w:eastAsia="zh-CN"/>
        </w:rPr>
        <w:t>；</w:t>
      </w:r>
    </w:p>
    <w:p w14:paraId="3CE780D5">
      <w:pPr>
        <w:widowControl w:val="0"/>
        <w:tabs>
          <w:tab w:val="left" w:pos="0"/>
          <w:tab w:val="left" w:pos="1146"/>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（12） </w:t>
      </w:r>
      <w:r>
        <w:rPr>
          <w:rFonts w:hint="eastAsia" w:ascii="宋体" w:hAnsi="宋体" w:eastAsia="宋体" w:cs="Times New Roman"/>
          <w:kern w:val="2"/>
          <w:sz w:val="21"/>
          <w:szCs w:val="21"/>
          <w:lang w:eastAsia="zh-CN"/>
        </w:rPr>
        <w:t>为本询比项目的采购代理机构</w:t>
      </w:r>
      <w:r>
        <w:rPr>
          <w:rFonts w:hint="eastAsia" w:ascii="宋体" w:hAnsi="宋体" w:eastAsia="宋体" w:cs="宋体"/>
          <w:kern w:val="2"/>
          <w:sz w:val="21"/>
          <w:szCs w:val="21"/>
          <w:lang w:eastAsia="zh-CN"/>
        </w:rPr>
        <w:t>；</w:t>
      </w:r>
    </w:p>
    <w:p w14:paraId="1846320A">
      <w:pPr>
        <w:widowControl w:val="0"/>
        <w:tabs>
          <w:tab w:val="left" w:pos="0"/>
          <w:tab w:val="left" w:pos="1146"/>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（13） </w:t>
      </w:r>
      <w:r>
        <w:rPr>
          <w:rFonts w:hint="eastAsia" w:ascii="宋体" w:hAnsi="宋体" w:eastAsia="宋体" w:cs="Times New Roman"/>
          <w:kern w:val="2"/>
          <w:sz w:val="21"/>
          <w:szCs w:val="21"/>
          <w:lang w:eastAsia="zh-CN"/>
        </w:rPr>
        <w:t>与本询比项目的监理人或代建人或采购代理机构同为一个法定代表人</w:t>
      </w:r>
      <w:r>
        <w:rPr>
          <w:rFonts w:hint="eastAsia" w:ascii="宋体" w:hAnsi="宋体" w:eastAsia="宋体" w:cs="宋体"/>
          <w:kern w:val="2"/>
          <w:sz w:val="21"/>
          <w:szCs w:val="21"/>
          <w:lang w:eastAsia="zh-CN"/>
        </w:rPr>
        <w:t>；</w:t>
      </w:r>
    </w:p>
    <w:p w14:paraId="57FA681F">
      <w:pPr>
        <w:widowControl w:val="0"/>
        <w:tabs>
          <w:tab w:val="left" w:pos="0"/>
          <w:tab w:val="left" w:pos="1146"/>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（14） </w:t>
      </w:r>
      <w:r>
        <w:rPr>
          <w:rFonts w:hint="eastAsia" w:ascii="宋体" w:hAnsi="宋体" w:eastAsia="宋体" w:cs="Times New Roman"/>
          <w:kern w:val="2"/>
          <w:sz w:val="21"/>
          <w:szCs w:val="21"/>
          <w:lang w:eastAsia="zh-CN"/>
        </w:rPr>
        <w:t>与本询比项目的监理人或代建人或采购代理机构存在控股或参股关系</w:t>
      </w:r>
      <w:r>
        <w:rPr>
          <w:rFonts w:hint="eastAsia" w:ascii="宋体" w:hAnsi="宋体" w:eastAsia="宋体" w:cs="宋体"/>
          <w:kern w:val="2"/>
          <w:sz w:val="21"/>
          <w:szCs w:val="21"/>
          <w:lang w:eastAsia="zh-CN"/>
        </w:rPr>
        <w:t>；</w:t>
      </w:r>
    </w:p>
    <w:p w14:paraId="3C7959D5">
      <w:pPr>
        <w:widowControl w:val="0"/>
        <w:tabs>
          <w:tab w:val="left" w:pos="0"/>
          <w:tab w:val="left" w:pos="1146"/>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（15） 被工商行政管理机关在国家企业信用信息公示系统中列入严重违法失信企业名单的；</w:t>
      </w:r>
    </w:p>
    <w:p w14:paraId="167821CA">
      <w:pPr>
        <w:widowControl w:val="0"/>
        <w:tabs>
          <w:tab w:val="left" w:pos="0"/>
          <w:tab w:val="left" w:pos="1146"/>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（16）中国电信在职员工违规担任供应商法定代表人并参与采购活动的；</w:t>
      </w:r>
    </w:p>
    <w:p w14:paraId="19B4FAF5">
      <w:pPr>
        <w:widowControl w:val="0"/>
        <w:tabs>
          <w:tab w:val="left" w:pos="0"/>
          <w:tab w:val="left" w:pos="1146"/>
        </w:tabs>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（17）中国电信集团有限公司/中国电信股份有限公司中层及以上管理人员违反有关领导人员配偶、子女及其配偶经商办企业行为管理规定，其配偶、子女及其配偶经商办企业参与采购活动的；</w:t>
      </w:r>
    </w:p>
    <w:p w14:paraId="4F0C41CD">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lang w:eastAsia="zh-CN"/>
        </w:rPr>
        <w:t xml:space="preserve">    （18）</w:t>
      </w:r>
      <w:r>
        <w:rPr>
          <w:rFonts w:hint="eastAsia" w:ascii="宋体" w:hAnsi="宋体" w:eastAsia="宋体" w:cs="宋体"/>
          <w:kern w:val="2"/>
          <w:sz w:val="21"/>
          <w:szCs w:val="21"/>
          <w:lang w:eastAsia="zh-CN"/>
        </w:rPr>
        <w:t>中国电信领导人员离职或退休后三年内违反《国有企业领导人员廉洁从业若干规定》等相关规定任职、投资入股的私营企业、外资企业和中介机构，参与其原任职单位采购活动的；</w:t>
      </w:r>
    </w:p>
    <w:p w14:paraId="2445232D">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vanish w:val="0"/>
          <w:kern w:val="2"/>
          <w:sz w:val="21"/>
          <w:szCs w:val="21"/>
          <w:lang w:eastAsia="zh-CN"/>
        </w:rPr>
        <w:t xml:space="preserve">    （19）</w:t>
      </w:r>
      <w:r>
        <w:rPr>
          <w:rFonts w:ascii="宋体" w:hAnsi="宋体" w:eastAsia="宋体" w:cs="宋体"/>
          <w:vanish w:val="0"/>
          <w:kern w:val="2"/>
          <w:sz w:val="21"/>
          <w:szCs w:val="21"/>
          <w:lang w:eastAsia="zh-CN"/>
        </w:rPr>
        <w:t>近两年在中国境内（不含港澳台）的非中国电信项目发生施工类一般生产安全责任事故且涉及人员死亡，或施工类较大及以上责任事故的；</w:t>
      </w:r>
      <w:r>
        <w:rPr>
          <w:rFonts w:hint="eastAsia" w:ascii="宋体" w:hAnsi="宋体" w:eastAsia="宋体" w:cs="宋体"/>
          <w:vanish w:val="0"/>
          <w:kern w:val="2"/>
          <w:sz w:val="21"/>
          <w:szCs w:val="21"/>
          <w:lang w:eastAsia="zh-CN"/>
        </w:rPr>
        <w:t>（20）其他按照中国电信供应商不良行为处理结果及《中国电信供应商不良行为管理规则》的结果执行规则，应对供应商及其响应产品在本项目中执行禁止采购处理措施的；</w:t>
      </w:r>
      <w:r>
        <w:rPr>
          <w:rFonts w:hint="eastAsia" w:ascii="宋体" w:hAnsi="宋体" w:eastAsia="宋体" w:cs="宋体"/>
          <w:vanish w:val="0"/>
          <w:kern w:val="2"/>
          <w:sz w:val="21"/>
          <w:szCs w:val="21"/>
          <w:lang w:eastAsia="zh-CN"/>
        </w:rPr>
        <w:br w:type="textWrapping"/>
      </w:r>
      <w:r>
        <w:rPr>
          <w:rFonts w:hint="eastAsia" w:ascii="宋体" w:hAnsi="宋体" w:eastAsia="宋体" w:cs="宋体"/>
          <w:kern w:val="2"/>
          <w:sz w:val="21"/>
          <w:szCs w:val="21"/>
          <w:lang w:eastAsia="zh-CN"/>
        </w:rPr>
        <w:t xml:space="preserve">    （21）法律法规、询比文件限定的其他情形。</w:t>
      </w:r>
    </w:p>
    <w:p w14:paraId="0B6336B0">
      <w:pPr>
        <w:widowControl w:val="0"/>
        <w:spacing w:line="400" w:lineRule="exact"/>
        <w:jc w:val="left"/>
        <w:rPr>
          <w:rFonts w:hint="eastAsia" w:ascii="宋体" w:hAnsi="宋体" w:eastAsia="宋体" w:cs="宋体"/>
          <w:b/>
          <w:kern w:val="2"/>
          <w:sz w:val="21"/>
          <w:szCs w:val="21"/>
          <w:lang w:eastAsia="zh-CN"/>
        </w:rPr>
      </w:pPr>
      <w:r>
        <w:rPr>
          <w:rFonts w:hint="eastAsia" w:ascii="宋体" w:hAnsi="宋体" w:eastAsia="宋体" w:cs="宋体"/>
          <w:vanish w:val="0"/>
          <w:kern w:val="2"/>
          <w:sz w:val="21"/>
          <w:szCs w:val="21"/>
          <w:lang w:eastAsia="zh-CN"/>
        </w:rPr>
        <w:t xml:space="preserve">    </w:t>
      </w:r>
      <w:r>
        <w:rPr>
          <w:rFonts w:hint="eastAsia" w:ascii="宋体" w:hAnsi="宋体" w:eastAsia="宋体" w:cs="Times New Roman"/>
          <w:vanish w:val="0"/>
          <w:kern w:val="2"/>
          <w:sz w:val="21"/>
          <w:szCs w:val="21"/>
          <w:lang w:eastAsia="zh-CN"/>
        </w:rPr>
        <w:t>供应商</w:t>
      </w:r>
      <w:r>
        <w:rPr>
          <w:rFonts w:hint="eastAsia" w:ascii="宋体" w:hAnsi="宋体" w:eastAsia="宋体" w:cs="宋体"/>
          <w:vanish w:val="0"/>
          <w:kern w:val="2"/>
          <w:sz w:val="21"/>
          <w:szCs w:val="21"/>
          <w:lang w:eastAsia="zh-CN"/>
        </w:rPr>
        <w:t>是代理商的，本条所指的</w:t>
      </w:r>
      <w:r>
        <w:rPr>
          <w:rFonts w:hint="eastAsia" w:ascii="宋体" w:hAnsi="宋体" w:eastAsia="宋体" w:cs="Times New Roman"/>
          <w:vanish w:val="0"/>
          <w:kern w:val="2"/>
          <w:sz w:val="21"/>
          <w:szCs w:val="21"/>
          <w:lang w:eastAsia="zh-CN"/>
        </w:rPr>
        <w:t>供应商</w:t>
      </w:r>
      <w:r>
        <w:rPr>
          <w:rFonts w:hint="eastAsia" w:ascii="宋体" w:hAnsi="宋体" w:eastAsia="宋体" w:cs="宋体"/>
          <w:vanish w:val="0"/>
          <w:kern w:val="2"/>
          <w:sz w:val="21"/>
          <w:szCs w:val="21"/>
          <w:lang w:eastAsia="zh-CN"/>
        </w:rPr>
        <w:t>也包括其所代理的制造商。</w:t>
      </w:r>
      <w:r>
        <w:rPr>
          <w:rFonts w:hint="eastAsia" w:ascii="宋体" w:hAnsi="宋体" w:eastAsia="宋体" w:cs="宋体"/>
          <w:vanish w:val="0"/>
          <w:kern w:val="2"/>
          <w:sz w:val="21"/>
          <w:szCs w:val="21"/>
          <w:lang w:eastAsia="zh-CN"/>
        </w:rPr>
        <w:br w:type="textWrapping"/>
      </w:r>
      <w:r>
        <w:rPr>
          <w:rFonts w:hint="eastAsia" w:ascii="宋体" w:hAnsi="宋体" w:eastAsia="宋体" w:cs="宋体"/>
          <w:kern w:val="2"/>
          <w:sz w:val="21"/>
          <w:szCs w:val="21"/>
          <w:lang w:eastAsia="zh-CN"/>
        </w:rPr>
        <w:t xml:space="preserve">    </w:t>
      </w:r>
      <w:r>
        <w:rPr>
          <w:rFonts w:hint="eastAsia" w:ascii="宋体" w:hAnsi="宋体" w:eastAsia="宋体" w:cs="宋体"/>
          <w:b/>
          <w:kern w:val="2"/>
          <w:sz w:val="21"/>
          <w:szCs w:val="21"/>
          <w:lang w:eastAsia="zh-CN"/>
        </w:rPr>
        <w:t>2.3产品资格要求</w:t>
      </w:r>
    </w:p>
    <w:p w14:paraId="7835C065">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b/>
          <w:kern w:val="2"/>
          <w:sz w:val="21"/>
          <w:szCs w:val="21"/>
          <w:lang w:eastAsia="zh-CN"/>
        </w:rPr>
        <w:t xml:space="preserve">    </w:t>
      </w:r>
      <w:r>
        <w:rPr>
          <w:rFonts w:hint="eastAsia" w:ascii="宋体" w:hAnsi="宋体" w:eastAsia="宋体" w:cs="宋体"/>
          <w:kern w:val="2"/>
          <w:sz w:val="21"/>
          <w:szCs w:val="21"/>
          <w:lang w:eastAsia="zh-CN"/>
        </w:rPr>
        <w:t>2.3.1 产品应是来自中华人民共和国的成熟稳定的产品。</w:t>
      </w:r>
    </w:p>
    <w:p w14:paraId="4122E751">
      <w:pPr>
        <w:widowControl w:val="0"/>
        <w:spacing w:line="400" w:lineRule="exact"/>
        <w:jc w:val="left"/>
        <w:rPr>
          <w:rFonts w:hint="eastAsia" w:ascii="宋体" w:hAnsi="宋体" w:eastAsia="宋体" w:cs="宋体"/>
          <w:b/>
          <w:bCs/>
          <w:kern w:val="2"/>
          <w:sz w:val="21"/>
          <w:szCs w:val="21"/>
          <w:lang w:eastAsia="zh-CN"/>
        </w:rPr>
      </w:pPr>
      <w:r>
        <w:rPr>
          <w:rFonts w:hint="eastAsia" w:ascii="宋体" w:hAnsi="宋体" w:eastAsia="宋体" w:cs="宋体"/>
          <w:vanish w:val="0"/>
          <w:kern w:val="2"/>
          <w:sz w:val="21"/>
          <w:szCs w:val="21"/>
          <w:lang w:eastAsia="zh-CN"/>
        </w:rPr>
        <w:t xml:space="preserve">    </w:t>
      </w:r>
      <w:r>
        <w:rPr>
          <w:rFonts w:hint="eastAsia" w:ascii="宋体" w:hAnsi="宋体" w:eastAsia="宋体" w:cs="宋体"/>
          <w:vanish w:val="0"/>
          <w:kern w:val="2"/>
          <w:sz w:val="21"/>
          <w:szCs w:val="21"/>
          <w:lang w:eastAsia="zh-CN"/>
        </w:rPr>
        <w:br w:type="textWrapping"/>
      </w:r>
      <w:r>
        <w:rPr>
          <w:rFonts w:hint="eastAsia" w:ascii="宋体" w:hAnsi="宋体" w:eastAsia="宋体" w:cs="宋体"/>
          <w:vanish w:val="0"/>
          <w:kern w:val="2"/>
          <w:sz w:val="21"/>
          <w:szCs w:val="21"/>
          <w:lang w:eastAsia="zh-CN"/>
        </w:rPr>
        <w:t xml:space="preserve">  </w:t>
      </w:r>
      <w:r>
        <w:rPr>
          <w:rFonts w:hint="eastAsia" w:ascii="宋体" w:hAnsi="宋体" w:eastAsia="宋体" w:cs="宋体"/>
          <w:vanish w:val="0"/>
          <w:kern w:val="2"/>
          <w:sz w:val="21"/>
          <w:szCs w:val="21"/>
          <w:lang w:eastAsia="zh-CN"/>
        </w:rPr>
        <w:br w:type="textWrapping"/>
      </w:r>
      <w:r>
        <w:rPr>
          <w:rFonts w:hint="eastAsia" w:ascii="宋体" w:hAnsi="宋体" w:eastAsia="宋体" w:cs="宋体"/>
          <w:vanish w:val="0"/>
          <w:kern w:val="2"/>
          <w:sz w:val="21"/>
          <w:szCs w:val="21"/>
          <w:lang w:eastAsia="zh-CN"/>
        </w:rPr>
        <w:t xml:space="preserve">    </w:t>
      </w:r>
      <w:r>
        <w:rPr>
          <w:rFonts w:hint="eastAsia" w:ascii="宋体" w:hAnsi="宋体" w:eastAsia="宋体" w:cs="宋体"/>
          <w:b/>
          <w:vanish w:val="0"/>
          <w:kern w:val="2"/>
          <w:sz w:val="21"/>
          <w:szCs w:val="21"/>
          <w:lang w:eastAsia="zh-CN"/>
        </w:rPr>
        <w:t>2.4 产品制造商资格要求</w:t>
      </w:r>
      <w:r>
        <w:rPr>
          <w:rFonts w:hint="eastAsia" w:ascii="宋体" w:hAnsi="宋体" w:eastAsia="宋体" w:cs="宋体"/>
          <w:b/>
          <w:vanish w:val="0"/>
          <w:kern w:val="2"/>
          <w:sz w:val="21"/>
          <w:szCs w:val="21"/>
          <w:lang w:eastAsia="zh-CN"/>
        </w:rPr>
        <w:br w:type="textWrapping"/>
      </w:r>
      <w:r>
        <w:rPr>
          <w:rFonts w:hint="eastAsia" w:ascii="宋体" w:hAnsi="宋体" w:eastAsia="宋体" w:cs="宋体"/>
          <w:vanish w:val="0"/>
          <w:kern w:val="2"/>
          <w:sz w:val="21"/>
          <w:szCs w:val="21"/>
          <w:lang w:eastAsia="zh-CN"/>
        </w:rPr>
        <w:t xml:space="preserve">    2.4.1</w:t>
      </w:r>
      <w:r>
        <w:rPr>
          <w:rFonts w:hint="eastAsia" w:ascii="宋体" w:hAnsi="宋体" w:eastAsia="宋体" w:cs="宋体"/>
          <w:b/>
          <w:vanish w:val="0"/>
          <w:kern w:val="2"/>
          <w:sz w:val="21"/>
          <w:szCs w:val="21"/>
          <w:lang w:eastAsia="zh-CN"/>
        </w:rPr>
        <w:t xml:space="preserve"> </w:t>
      </w:r>
      <w:r>
        <w:rPr>
          <w:rFonts w:hint="eastAsia" w:ascii="宋体" w:hAnsi="宋体" w:eastAsia="宋体" w:cs="宋体"/>
          <w:vanish w:val="0"/>
          <w:kern w:val="2"/>
          <w:sz w:val="21"/>
          <w:szCs w:val="21"/>
          <w:lang w:eastAsia="zh-CN"/>
        </w:rPr>
        <w:t>制造商应提供合法有效的登记（或注册）证明文件。</w:t>
      </w:r>
      <w:r>
        <w:rPr>
          <w:rFonts w:hint="eastAsia" w:ascii="宋体" w:hAnsi="宋体" w:eastAsia="宋体" w:cs="宋体"/>
          <w:vanish w:val="0"/>
          <w:kern w:val="2"/>
          <w:sz w:val="21"/>
          <w:szCs w:val="21"/>
          <w:lang w:eastAsia="zh-CN"/>
        </w:rPr>
        <w:br w:type="textWrapping"/>
      </w:r>
      <w:r>
        <w:rPr>
          <w:rFonts w:hint="eastAsia" w:ascii="宋体" w:hAnsi="宋体" w:eastAsia="宋体" w:cs="宋体"/>
          <w:vanish w:val="0"/>
          <w:kern w:val="2"/>
          <w:sz w:val="21"/>
          <w:szCs w:val="21"/>
          <w:lang w:eastAsia="zh-CN"/>
        </w:rPr>
        <w:t xml:space="preserve">    </w:t>
      </w:r>
      <w:r>
        <w:rPr>
          <w:rFonts w:hint="eastAsia" w:ascii="宋体" w:hAnsi="宋体" w:eastAsia="宋体" w:cs="宋体"/>
          <w:b/>
          <w:bCs/>
          <w:vanish w:val="0"/>
          <w:kern w:val="2"/>
          <w:sz w:val="21"/>
          <w:szCs w:val="21"/>
          <w:lang w:eastAsia="zh-CN"/>
        </w:rPr>
        <w:t>2.5法律法规规定的其他要求。</w:t>
      </w:r>
    </w:p>
    <w:p w14:paraId="7310D561">
      <w:pPr>
        <w:widowControl w:val="0"/>
        <w:adjustRightInd w:val="0"/>
        <w:snapToGrid w:val="0"/>
        <w:spacing w:line="440" w:lineRule="exact"/>
        <w:jc w:val="left"/>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 xml:space="preserve">    3.资格审查方法</w:t>
      </w:r>
    </w:p>
    <w:p w14:paraId="67D6EAF7">
      <w:pPr>
        <w:widowControl w:val="0"/>
        <w:adjustRightInd w:val="0"/>
        <w:snapToGrid w:val="0"/>
        <w:spacing w:line="440" w:lineRule="exact"/>
        <w:ind w:firstLine="420"/>
        <w:jc w:val="left"/>
        <w:rPr>
          <w:rFonts w:hint="eastAsia" w:ascii="宋体" w:hAnsi="宋体" w:eastAsia="宋体" w:cs="宋体"/>
          <w:b/>
          <w:kern w:val="2"/>
          <w:sz w:val="21"/>
          <w:szCs w:val="21"/>
          <w:lang w:eastAsia="zh-CN"/>
        </w:rPr>
      </w:pPr>
      <w:r>
        <w:rPr>
          <w:rFonts w:hint="eastAsia" w:ascii="宋体" w:hAnsi="宋体" w:eastAsia="宋体" w:cs="Times New Roman"/>
          <w:kern w:val="2"/>
          <w:sz w:val="21"/>
          <w:szCs w:val="21"/>
          <w:lang w:eastAsia="zh-CN"/>
        </w:rPr>
        <w:t>本项目将进行资格后审，资格审查标准和内容见询比文件第三章“评审办法”，凡未通过资格后审的供应商，其响应将被否决</w:t>
      </w:r>
      <w:r>
        <w:rPr>
          <w:rFonts w:hint="eastAsia" w:ascii="宋体" w:hAnsi="宋体" w:eastAsia="宋体" w:cs="宋体"/>
          <w:bCs/>
          <w:kern w:val="2"/>
          <w:sz w:val="21"/>
          <w:szCs w:val="21"/>
          <w:lang w:eastAsia="zh-CN"/>
        </w:rPr>
        <w:t>。</w:t>
      </w:r>
      <w:r>
        <w:rPr>
          <w:rFonts w:hint="eastAsia" w:ascii="宋体" w:hAnsi="宋体" w:eastAsia="宋体" w:cs="宋体"/>
          <w:kern w:val="2"/>
          <w:sz w:val="21"/>
          <w:szCs w:val="21"/>
          <w:lang w:eastAsia="zh-CN"/>
        </w:rPr>
        <w:br w:type="textWrapping"/>
      </w:r>
      <w:r>
        <w:rPr>
          <w:rFonts w:hint="eastAsia" w:ascii="宋体" w:hAnsi="宋体" w:eastAsia="宋体" w:cs="宋体"/>
          <w:kern w:val="2"/>
          <w:sz w:val="21"/>
          <w:szCs w:val="21"/>
          <w:lang w:eastAsia="zh-CN"/>
        </w:rPr>
        <w:t xml:space="preserve">    </w:t>
      </w:r>
      <w:r>
        <w:rPr>
          <w:rFonts w:hint="eastAsia" w:ascii="宋体" w:hAnsi="宋体" w:eastAsia="宋体" w:cs="宋体"/>
          <w:b/>
          <w:kern w:val="2"/>
          <w:sz w:val="21"/>
          <w:szCs w:val="21"/>
          <w:lang w:eastAsia="zh-CN"/>
        </w:rPr>
        <w:t>4.询比文件的获取</w:t>
      </w:r>
    </w:p>
    <w:p w14:paraId="3B00E1F8">
      <w:pPr>
        <w:widowControl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4.1询比文件获取时间:</w:t>
      </w:r>
      <w:r>
        <w:rPr>
          <w:rFonts w:hint="eastAsia" w:ascii="宋体" w:hAnsi="宋体" w:eastAsia="宋体" w:cs="宋体"/>
          <w:vanish w:val="0"/>
          <w:kern w:val="2"/>
          <w:sz w:val="21"/>
          <w:szCs w:val="21"/>
          <w:lang w:eastAsia="zh-CN"/>
        </w:rPr>
        <w:t>2026年0</w:t>
      </w:r>
      <w:r>
        <w:rPr>
          <w:rFonts w:hint="eastAsia" w:ascii="宋体" w:hAnsi="宋体" w:eastAsia="宋体" w:cs="宋体"/>
          <w:vanish w:val="0"/>
          <w:kern w:val="2"/>
          <w:sz w:val="21"/>
          <w:szCs w:val="21"/>
          <w:lang w:val="en-US" w:eastAsia="zh-CN"/>
        </w:rPr>
        <w:t>6</w:t>
      </w:r>
      <w:r>
        <w:rPr>
          <w:rFonts w:hint="eastAsia" w:ascii="宋体" w:hAnsi="宋体" w:eastAsia="宋体" w:cs="宋体"/>
          <w:vanish w:val="0"/>
          <w:kern w:val="2"/>
          <w:sz w:val="21"/>
          <w:szCs w:val="21"/>
          <w:lang w:eastAsia="zh-CN"/>
        </w:rPr>
        <w:t>月</w:t>
      </w:r>
      <w:r>
        <w:rPr>
          <w:rFonts w:hint="eastAsia" w:ascii="宋体" w:hAnsi="宋体" w:eastAsia="宋体" w:cs="宋体"/>
          <w:vanish w:val="0"/>
          <w:kern w:val="2"/>
          <w:sz w:val="21"/>
          <w:szCs w:val="21"/>
          <w:lang w:val="en-US" w:eastAsia="zh-CN"/>
        </w:rPr>
        <w:t>02</w:t>
      </w:r>
      <w:r>
        <w:rPr>
          <w:rFonts w:hint="eastAsia" w:ascii="宋体" w:hAnsi="宋体" w:eastAsia="宋体" w:cs="宋体"/>
          <w:vanish w:val="0"/>
          <w:kern w:val="2"/>
          <w:sz w:val="21"/>
          <w:szCs w:val="21"/>
          <w:lang w:eastAsia="zh-CN"/>
        </w:rPr>
        <w:t>日 1</w:t>
      </w:r>
      <w:r>
        <w:rPr>
          <w:rFonts w:hint="eastAsia" w:ascii="宋体" w:hAnsi="宋体" w:eastAsia="宋体" w:cs="宋体"/>
          <w:vanish w:val="0"/>
          <w:kern w:val="2"/>
          <w:sz w:val="21"/>
          <w:szCs w:val="21"/>
          <w:lang w:val="en-US" w:eastAsia="zh-CN"/>
        </w:rPr>
        <w:t>2</w:t>
      </w:r>
      <w:r>
        <w:rPr>
          <w:rFonts w:hint="eastAsia" w:ascii="宋体" w:hAnsi="宋体" w:eastAsia="宋体" w:cs="宋体"/>
          <w:vanish w:val="0"/>
          <w:kern w:val="2"/>
          <w:sz w:val="21"/>
          <w:szCs w:val="21"/>
          <w:lang w:eastAsia="zh-CN"/>
        </w:rPr>
        <w:t>时00分00秒</w:t>
      </w:r>
      <w:r>
        <w:rPr>
          <w:rFonts w:hint="eastAsia" w:ascii="宋体" w:hAnsi="宋体" w:eastAsia="宋体" w:cs="宋体"/>
          <w:kern w:val="2"/>
          <w:sz w:val="21"/>
          <w:szCs w:val="21"/>
          <w:lang w:eastAsia="zh-CN"/>
        </w:rPr>
        <w:t>至</w:t>
      </w:r>
      <w:r>
        <w:rPr>
          <w:rFonts w:hint="eastAsia" w:ascii="宋体" w:hAnsi="宋体" w:eastAsia="宋体" w:cs="宋体"/>
          <w:vanish w:val="0"/>
          <w:kern w:val="2"/>
          <w:sz w:val="21"/>
          <w:szCs w:val="21"/>
          <w:lang w:eastAsia="zh-CN"/>
        </w:rPr>
        <w:t>2026年06月0</w:t>
      </w:r>
      <w:r>
        <w:rPr>
          <w:rFonts w:hint="eastAsia" w:ascii="宋体" w:hAnsi="宋体" w:eastAsia="宋体" w:cs="宋体"/>
          <w:vanish w:val="0"/>
          <w:kern w:val="2"/>
          <w:sz w:val="21"/>
          <w:szCs w:val="21"/>
          <w:lang w:val="en-US" w:eastAsia="zh-CN"/>
        </w:rPr>
        <w:t>8</w:t>
      </w:r>
      <w:r>
        <w:rPr>
          <w:rFonts w:hint="eastAsia" w:ascii="宋体" w:hAnsi="宋体" w:eastAsia="宋体" w:cs="宋体"/>
          <w:vanish w:val="0"/>
          <w:kern w:val="2"/>
          <w:sz w:val="21"/>
          <w:szCs w:val="21"/>
          <w:lang w:eastAsia="zh-CN"/>
        </w:rPr>
        <w:t>日 17时30分00秒</w:t>
      </w:r>
      <w:r>
        <w:rPr>
          <w:rFonts w:hint="eastAsia" w:ascii="宋体" w:hAnsi="宋体" w:eastAsia="宋体" w:cs="宋体"/>
          <w:kern w:val="2"/>
          <w:sz w:val="21"/>
          <w:szCs w:val="21"/>
          <w:lang w:eastAsia="zh-CN"/>
        </w:rPr>
        <w:t>（北京时间，下同）。</w:t>
      </w:r>
    </w:p>
    <w:p w14:paraId="2BE9B193">
      <w:pPr>
        <w:widowControl w:val="0"/>
        <w:wordWrap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4.2询比文件获取方式：登录“中国电信阳光采购网（https://caigou.chinatelecom.com.cn）”后，通过“招投标-采购文件领取”模块或通过“电子采购入口”跳转中国电信电子采购系统，进入本项目进行询比文件登记申领，未在系统注册的供应商须先进行注册，注册方法详见本公告“6供应商注册”。</w:t>
      </w:r>
    </w:p>
    <w:p w14:paraId="3F4E1D02">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4.3询比文件费用：</w:t>
      </w:r>
      <w:r>
        <w:rPr>
          <w:rFonts w:hint="eastAsia" w:ascii="宋体" w:hAnsi="宋体" w:eastAsia="宋体" w:cs="宋体"/>
          <w:vanish w:val="0"/>
          <w:kern w:val="2"/>
          <w:sz w:val="21"/>
          <w:szCs w:val="21"/>
          <w:lang w:eastAsia="zh-CN"/>
        </w:rPr>
        <w:t>本项目不收取文件费用。</w:t>
      </w:r>
    </w:p>
    <w:p w14:paraId="32BBAFF1">
      <w:pPr>
        <w:widowControl w:val="0"/>
        <w:adjustRightInd w:val="0"/>
        <w:snapToGrid w:val="0"/>
        <w:spacing w:line="440" w:lineRule="exact"/>
        <w:jc w:val="left"/>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 xml:space="preserve">    5.响应文件的递交</w:t>
      </w:r>
    </w:p>
    <w:p w14:paraId="65597EB3">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5.1响应文件递交截止时间（即响应截止时间）为：</w:t>
      </w:r>
      <w:r>
        <w:rPr>
          <w:rFonts w:hint="eastAsia" w:ascii="宋体" w:hAnsi="宋体" w:eastAsia="宋体" w:cs="宋体"/>
          <w:vanish w:val="0"/>
          <w:kern w:val="2"/>
          <w:sz w:val="21"/>
          <w:szCs w:val="21"/>
          <w:lang w:eastAsia="zh-CN"/>
        </w:rPr>
        <w:t>2026年06月</w:t>
      </w:r>
      <w:r>
        <w:rPr>
          <w:rFonts w:hint="eastAsia" w:ascii="宋体" w:hAnsi="宋体" w:eastAsia="宋体" w:cs="宋体"/>
          <w:vanish w:val="0"/>
          <w:kern w:val="2"/>
          <w:sz w:val="21"/>
          <w:szCs w:val="21"/>
          <w:lang w:val="en-US" w:eastAsia="zh-CN"/>
        </w:rPr>
        <w:t>11</w:t>
      </w:r>
      <w:r>
        <w:rPr>
          <w:rFonts w:hint="eastAsia" w:ascii="宋体" w:hAnsi="宋体" w:eastAsia="宋体" w:cs="宋体"/>
          <w:vanish w:val="0"/>
          <w:kern w:val="2"/>
          <w:sz w:val="21"/>
          <w:szCs w:val="21"/>
          <w:lang w:eastAsia="zh-CN"/>
        </w:rPr>
        <w:t xml:space="preserve">日 </w:t>
      </w:r>
      <w:r>
        <w:rPr>
          <w:rFonts w:hint="eastAsia" w:ascii="宋体" w:hAnsi="宋体" w:eastAsia="宋体" w:cs="宋体"/>
          <w:vanish w:val="0"/>
          <w:kern w:val="2"/>
          <w:sz w:val="21"/>
          <w:szCs w:val="21"/>
          <w:lang w:val="en-US" w:eastAsia="zh-CN"/>
        </w:rPr>
        <w:t>09</w:t>
      </w:r>
      <w:r>
        <w:rPr>
          <w:rFonts w:hint="eastAsia" w:ascii="宋体" w:hAnsi="宋体" w:eastAsia="宋体" w:cs="宋体"/>
          <w:vanish w:val="0"/>
          <w:kern w:val="2"/>
          <w:sz w:val="21"/>
          <w:szCs w:val="21"/>
          <w:lang w:eastAsia="zh-CN"/>
        </w:rPr>
        <w:t>时</w:t>
      </w:r>
      <w:r>
        <w:rPr>
          <w:rFonts w:hint="eastAsia" w:ascii="宋体" w:hAnsi="宋体" w:eastAsia="宋体" w:cs="宋体"/>
          <w:vanish w:val="0"/>
          <w:kern w:val="2"/>
          <w:sz w:val="21"/>
          <w:szCs w:val="21"/>
          <w:lang w:val="en-US" w:eastAsia="zh-CN"/>
        </w:rPr>
        <w:t>0</w:t>
      </w:r>
      <w:r>
        <w:rPr>
          <w:rFonts w:hint="eastAsia" w:ascii="宋体" w:hAnsi="宋体" w:eastAsia="宋体" w:cs="宋体"/>
          <w:vanish w:val="0"/>
          <w:kern w:val="2"/>
          <w:sz w:val="21"/>
          <w:szCs w:val="21"/>
          <w:lang w:eastAsia="zh-CN"/>
        </w:rPr>
        <w:t>0分00秒</w:t>
      </w:r>
    </w:p>
    <w:p w14:paraId="355E842D">
      <w:pPr>
        <w:widowControl w:val="0"/>
        <w:wordWrap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5.2</w:t>
      </w:r>
      <w:r>
        <w:rPr>
          <w:rFonts w:hint="eastAsia" w:ascii="宋体" w:hAnsi="宋体" w:eastAsia="宋体" w:cs="Times New Roman"/>
          <w:kern w:val="2"/>
          <w:sz w:val="21"/>
          <w:szCs w:val="21"/>
          <w:lang w:eastAsia="zh-CN"/>
        </w:rPr>
        <w:t>电子响应文件的提交方式：登录中国电信阳光采购网（https://caigou.chinatelecom.com.cn）后，通过“招投标-我的项目”模块或通过“电子采购入口”跳转中国电信电子采购系统，选择本项目进行响应文件提交，供应商应在响应文件提交截止时间之前通过电子采购系统完成加密电子响应文件的上传。供应商未在电子采购系统进行询比文件申领登记或电子响应文件未按照要求加密的，将无法通过电子采购系统提交电子响应文件</w:t>
      </w:r>
      <w:r>
        <w:rPr>
          <w:rFonts w:hint="eastAsia" w:ascii="宋体" w:hAnsi="宋体" w:eastAsia="宋体" w:cs="宋体"/>
          <w:kern w:val="2"/>
          <w:sz w:val="21"/>
          <w:szCs w:val="21"/>
          <w:lang w:eastAsia="zh-CN"/>
        </w:rPr>
        <w:t>。</w:t>
      </w:r>
    </w:p>
    <w:p w14:paraId="06018273">
      <w:pPr>
        <w:widowControl w:val="0"/>
        <w:wordWrap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5.3</w:t>
      </w:r>
      <w:r>
        <w:rPr>
          <w:rFonts w:hint="eastAsia" w:ascii="宋体" w:hAnsi="宋体" w:eastAsia="宋体" w:cs="Times New Roman"/>
          <w:kern w:val="2"/>
          <w:sz w:val="21"/>
          <w:szCs w:val="21"/>
          <w:lang w:eastAsia="zh-CN"/>
        </w:rPr>
        <w:t>本项目将于响应文件提交截止同一时间通过中国电信电子采购系统开启响应文件，采购人/采购代理机构邀请响应供应商的法定代表人或者其委托代理人准时参加</w:t>
      </w:r>
      <w:r>
        <w:rPr>
          <w:rFonts w:hint="eastAsia" w:ascii="宋体" w:hAnsi="宋体" w:eastAsia="宋体" w:cs="宋体"/>
          <w:kern w:val="2"/>
          <w:sz w:val="21"/>
          <w:szCs w:val="21"/>
          <w:lang w:eastAsia="zh-CN"/>
        </w:rPr>
        <w:t>。</w:t>
      </w:r>
    </w:p>
    <w:p w14:paraId="02F62FED">
      <w:pPr>
        <w:widowControl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szCs w:val="21"/>
          <w:lang w:eastAsia="zh-CN"/>
        </w:rPr>
        <w:t xml:space="preserve">    </w:t>
      </w:r>
      <w:r>
        <w:rPr>
          <w:rFonts w:hint="eastAsia" w:ascii="宋体" w:hAnsi="宋体" w:eastAsia="宋体" w:cs="宋体"/>
          <w:b/>
          <w:kern w:val="2"/>
          <w:sz w:val="21"/>
          <w:szCs w:val="21"/>
          <w:lang w:eastAsia="zh-CN"/>
        </w:rPr>
        <w:t>7.供应商注册</w:t>
      </w:r>
      <w:r>
        <w:rPr>
          <w:rFonts w:hint="eastAsia" w:ascii="宋体" w:hAnsi="宋体" w:eastAsia="宋体" w:cs="宋体"/>
          <w:b/>
          <w:kern w:val="2"/>
          <w:sz w:val="21"/>
          <w:szCs w:val="21"/>
          <w:lang w:eastAsia="zh-CN"/>
        </w:rPr>
        <w:br w:type="textWrapping"/>
      </w:r>
      <w:r>
        <w:rPr>
          <w:rFonts w:hint="eastAsia" w:ascii="宋体" w:hAnsi="宋体" w:eastAsia="宋体" w:cs="宋体"/>
          <w:b/>
          <w:kern w:val="2"/>
          <w:sz w:val="21"/>
          <w:szCs w:val="21"/>
          <w:lang w:eastAsia="zh-CN"/>
        </w:rPr>
        <w:t xml:space="preserve">    </w:t>
      </w:r>
      <w:r>
        <w:rPr>
          <w:rFonts w:hint="eastAsia" w:ascii="宋体" w:hAnsi="宋体" w:eastAsia="宋体" w:cs="宋体"/>
          <w:kern w:val="2"/>
          <w:sz w:val="21"/>
          <w:lang w:eastAsia="zh-CN"/>
        </w:rPr>
        <w:t>7.1中国电信阳光采购网注册</w:t>
      </w:r>
    </w:p>
    <w:p w14:paraId="399948C7">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未注册过的潜在供应商，须通过中国电信阳光采购网（https://caigou.chinatelecom.com.cn）首页“立即注册”模块完成注册后，方可申领本项目询比文件。</w:t>
      </w:r>
    </w:p>
    <w:p w14:paraId="4889BE2E">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7.2 CA证书办理</w:t>
      </w:r>
    </w:p>
    <w:p w14:paraId="6751CAEB">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参与电子采购的潜在供应商须提前办理CA证书进行电子投标文件编制和投标，并确保CA证书在使用时有效。CA证书办理流程详见中国电信阳光采购网首页“操作指引-CA办理”。</w:t>
      </w:r>
    </w:p>
    <w:p w14:paraId="47E27BE7">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7.3技术支撑联系方式</w:t>
      </w:r>
    </w:p>
    <w:p w14:paraId="56B82149">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服务热线：4000111884</w:t>
      </w:r>
    </w:p>
    <w:p w14:paraId="70E1DB96">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服务邮箱：zb_support@chinatelecom.cn（电子采购系统技术支撑）</w:t>
      </w:r>
    </w:p>
    <w:p w14:paraId="23B2032E">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ctsc@chinatelecom.cn（CA证书办理技术支撑）</w:t>
      </w:r>
    </w:p>
    <w:p w14:paraId="7F30AE95">
      <w:pPr>
        <w:widowControl w:val="0"/>
        <w:adjustRightInd w:val="0"/>
        <w:snapToGrid w:val="0"/>
        <w:spacing w:line="440" w:lineRule="exact"/>
        <w:jc w:val="left"/>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 xml:space="preserve">    8.发布公告的媒介</w:t>
      </w:r>
    </w:p>
    <w:p w14:paraId="09A69726">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本询比公告同时且仅在</w:t>
      </w:r>
      <w:r>
        <w:rPr>
          <w:rFonts w:hint="eastAsia" w:ascii="宋体" w:hAnsi="宋体" w:eastAsia="宋体" w:cs="宋体"/>
          <w:vanish w:val="0"/>
          <w:kern w:val="2"/>
          <w:sz w:val="21"/>
          <w:lang w:eastAsia="zh-CN"/>
        </w:rPr>
        <w:t xml:space="preserve"> </w:t>
      </w:r>
      <w:r>
        <w:rPr>
          <w:rFonts w:hint="eastAsia" w:ascii="宋体" w:hAnsi="宋体" w:eastAsia="宋体" w:cs="宋体"/>
          <w:kern w:val="2"/>
          <w:sz w:val="21"/>
          <w:lang w:eastAsia="zh-CN"/>
        </w:rPr>
        <w:t>中国电信阳光采购网（https://caigou.chinatelecom.com.cn）</w:t>
      </w:r>
      <w:r>
        <w:rPr>
          <w:rFonts w:hint="eastAsia" w:ascii="宋体" w:hAnsi="宋体" w:eastAsia="宋体" w:cs="Times New Roman"/>
          <w:kern w:val="2"/>
          <w:sz w:val="21"/>
          <w:lang w:eastAsia="zh-CN"/>
        </w:rPr>
        <w:t>、中国招标投标公共服务平台（http://www.cebpubservice.com/）</w:t>
      </w:r>
      <w:r>
        <w:rPr>
          <w:rFonts w:hint="eastAsia" w:ascii="宋体" w:hAnsi="宋体" w:eastAsia="宋体" w:cs="宋体"/>
          <w:kern w:val="2"/>
          <w:sz w:val="21"/>
          <w:lang w:eastAsia="zh-CN"/>
        </w:rPr>
        <w:t>上发布，其他媒介转载无效。</w:t>
      </w:r>
    </w:p>
    <w:p w14:paraId="57013A96">
      <w:pPr>
        <w:widowControl w:val="0"/>
        <w:adjustRightInd w:val="0"/>
        <w:snapToGrid w:val="0"/>
        <w:spacing w:line="440" w:lineRule="exact"/>
        <w:jc w:val="left"/>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 xml:space="preserve">    9.联系及异议接收方式</w:t>
      </w:r>
    </w:p>
    <w:p w14:paraId="653165A8">
      <w:pPr>
        <w:widowControl w:val="0"/>
        <w:wordWrap w:val="0"/>
        <w:adjustRightInd w:val="0"/>
        <w:snapToGrid w:val="0"/>
        <w:spacing w:line="440" w:lineRule="exact"/>
        <w:jc w:val="left"/>
        <w:rPr>
          <w:rFonts w:hint="eastAsia" w:ascii="宋体" w:hAnsi="宋体" w:eastAsia="宋体" w:cs="宋体"/>
          <w:kern w:val="2"/>
          <w:sz w:val="21"/>
          <w:lang w:eastAsia="zh-CN"/>
        </w:rPr>
      </w:pPr>
      <w:r>
        <w:rPr>
          <w:rFonts w:hint="eastAsia" w:ascii="宋体" w:hAnsi="宋体" w:eastAsia="宋体" w:cs="宋体"/>
          <w:kern w:val="2"/>
          <w:sz w:val="21"/>
          <w:lang w:eastAsia="zh-CN"/>
        </w:rPr>
        <w:t xml:space="preserve">    9.1联系方式</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2593"/>
        <w:gridCol w:w="1517"/>
        <w:gridCol w:w="2631"/>
      </w:tblGrid>
      <w:tr w14:paraId="6A6B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3315BDB7">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采 购 人:</w:t>
            </w:r>
          </w:p>
        </w:tc>
        <w:tc>
          <w:tcPr>
            <w:tcW w:w="2593" w:type="dxa"/>
          </w:tcPr>
          <w:p w14:paraId="641BED98">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中国电信集团工会厦门市委员会</w:t>
            </w:r>
          </w:p>
        </w:tc>
        <w:tc>
          <w:tcPr>
            <w:tcW w:w="1517" w:type="dxa"/>
          </w:tcPr>
          <w:p w14:paraId="1E76D170">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采购代理机构:</w:t>
            </w:r>
          </w:p>
        </w:tc>
        <w:tc>
          <w:tcPr>
            <w:tcW w:w="2631" w:type="dxa"/>
          </w:tcPr>
          <w:p w14:paraId="4F4D7AC5">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福建省中通通信有限公司</w:t>
            </w:r>
          </w:p>
        </w:tc>
      </w:tr>
      <w:tr w14:paraId="66B2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43395528">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地    址：</w:t>
            </w:r>
          </w:p>
        </w:tc>
        <w:tc>
          <w:tcPr>
            <w:tcW w:w="2593" w:type="dxa"/>
          </w:tcPr>
          <w:p w14:paraId="0984B913">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厦门市白鹤路25号</w:t>
            </w:r>
          </w:p>
        </w:tc>
        <w:tc>
          <w:tcPr>
            <w:tcW w:w="1517" w:type="dxa"/>
          </w:tcPr>
          <w:p w14:paraId="43BCC3B3">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地    址：</w:t>
            </w:r>
          </w:p>
        </w:tc>
        <w:tc>
          <w:tcPr>
            <w:tcW w:w="2631" w:type="dxa"/>
          </w:tcPr>
          <w:p w14:paraId="3BAC93E7">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福建省福州市仓山区临江街道信平路10号</w:t>
            </w:r>
          </w:p>
        </w:tc>
      </w:tr>
      <w:tr w14:paraId="550B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52180C7">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邮    编：</w:t>
            </w:r>
          </w:p>
        </w:tc>
        <w:tc>
          <w:tcPr>
            <w:tcW w:w="2593" w:type="dxa"/>
          </w:tcPr>
          <w:p w14:paraId="21564A55">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361003</w:t>
            </w:r>
          </w:p>
        </w:tc>
        <w:tc>
          <w:tcPr>
            <w:tcW w:w="1517" w:type="dxa"/>
          </w:tcPr>
          <w:p w14:paraId="066E520F">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邮    编：</w:t>
            </w:r>
          </w:p>
        </w:tc>
        <w:tc>
          <w:tcPr>
            <w:tcW w:w="2631" w:type="dxa"/>
          </w:tcPr>
          <w:p w14:paraId="514EBF3F">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350007</w:t>
            </w:r>
          </w:p>
        </w:tc>
      </w:tr>
      <w:tr w14:paraId="00A8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3E7BAE91">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联 系 人：</w:t>
            </w:r>
          </w:p>
        </w:tc>
        <w:tc>
          <w:tcPr>
            <w:tcW w:w="2593" w:type="dxa"/>
          </w:tcPr>
          <w:p w14:paraId="29E4CA84">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曾经理</w:t>
            </w:r>
          </w:p>
        </w:tc>
        <w:tc>
          <w:tcPr>
            <w:tcW w:w="1517" w:type="dxa"/>
          </w:tcPr>
          <w:p w14:paraId="4939FBA0">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联 系 人：</w:t>
            </w:r>
          </w:p>
        </w:tc>
        <w:tc>
          <w:tcPr>
            <w:tcW w:w="2631" w:type="dxa"/>
          </w:tcPr>
          <w:p w14:paraId="50770284">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吴莉滨</w:t>
            </w:r>
          </w:p>
        </w:tc>
      </w:tr>
      <w:tr w14:paraId="1DC6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5418C076">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电    话：</w:t>
            </w:r>
          </w:p>
        </w:tc>
        <w:tc>
          <w:tcPr>
            <w:tcW w:w="2593" w:type="dxa"/>
          </w:tcPr>
          <w:p w14:paraId="549C6135">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18005921616</w:t>
            </w:r>
          </w:p>
        </w:tc>
        <w:tc>
          <w:tcPr>
            <w:tcW w:w="1517" w:type="dxa"/>
          </w:tcPr>
          <w:p w14:paraId="0E4A1A9B">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电    话：</w:t>
            </w:r>
          </w:p>
        </w:tc>
        <w:tc>
          <w:tcPr>
            <w:tcW w:w="2631" w:type="dxa"/>
          </w:tcPr>
          <w:p w14:paraId="4BEB5272">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18906023396</w:t>
            </w:r>
          </w:p>
        </w:tc>
      </w:tr>
      <w:tr w14:paraId="0B2E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6E5B8626">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电子邮件：</w:t>
            </w:r>
          </w:p>
        </w:tc>
        <w:tc>
          <w:tcPr>
            <w:tcW w:w="2593" w:type="dxa"/>
          </w:tcPr>
          <w:p w14:paraId="48365E6F">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w:t>
            </w:r>
          </w:p>
        </w:tc>
        <w:tc>
          <w:tcPr>
            <w:tcW w:w="1517" w:type="dxa"/>
          </w:tcPr>
          <w:p w14:paraId="68D1A143">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电子邮件：</w:t>
            </w:r>
          </w:p>
        </w:tc>
        <w:tc>
          <w:tcPr>
            <w:tcW w:w="2631" w:type="dxa"/>
          </w:tcPr>
          <w:p w14:paraId="4D24787B">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wulibin@chinaccs.cn</w:t>
            </w:r>
          </w:p>
        </w:tc>
      </w:tr>
      <w:tr w14:paraId="6E71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220073FD">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网    址：</w:t>
            </w:r>
          </w:p>
        </w:tc>
        <w:tc>
          <w:tcPr>
            <w:tcW w:w="2593" w:type="dxa"/>
          </w:tcPr>
          <w:p w14:paraId="066E8090">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w:t>
            </w:r>
          </w:p>
        </w:tc>
        <w:tc>
          <w:tcPr>
            <w:tcW w:w="1517" w:type="dxa"/>
          </w:tcPr>
          <w:p w14:paraId="5846CB02">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网    址：</w:t>
            </w:r>
          </w:p>
        </w:tc>
        <w:tc>
          <w:tcPr>
            <w:tcW w:w="2631" w:type="dxa"/>
          </w:tcPr>
          <w:p w14:paraId="2EE6FC7F">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w:t>
            </w:r>
          </w:p>
        </w:tc>
      </w:tr>
      <w:tr w14:paraId="4D54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0CF46B45">
            <w:pPr>
              <w:widowControl w:val="0"/>
              <w:wordWrap w:val="0"/>
              <w:adjustRightInd w:val="0"/>
              <w:snapToGrid w:val="0"/>
              <w:spacing w:line="440" w:lineRule="exact"/>
              <w:jc w:val="left"/>
              <w:rPr>
                <w:rFonts w:hint="eastAsia" w:ascii="宋体" w:hAnsi="宋体" w:eastAsia="宋体" w:cs="宋体"/>
                <w:kern w:val="0"/>
                <w:sz w:val="21"/>
                <w:szCs w:val="21"/>
                <w:lang w:eastAsia="zh-CN"/>
              </w:rPr>
            </w:pPr>
          </w:p>
        </w:tc>
        <w:tc>
          <w:tcPr>
            <w:tcW w:w="2593" w:type="dxa"/>
          </w:tcPr>
          <w:p w14:paraId="17C3DD8E">
            <w:pPr>
              <w:widowControl w:val="0"/>
              <w:wordWrap w:val="0"/>
              <w:adjustRightInd w:val="0"/>
              <w:snapToGrid w:val="0"/>
              <w:spacing w:line="440" w:lineRule="exact"/>
              <w:jc w:val="left"/>
              <w:rPr>
                <w:rFonts w:hint="eastAsia" w:ascii="宋体" w:hAnsi="宋体" w:eastAsia="宋体" w:cs="宋体"/>
                <w:kern w:val="0"/>
                <w:sz w:val="21"/>
                <w:szCs w:val="21"/>
                <w:lang w:eastAsia="zh-CN"/>
              </w:rPr>
            </w:pPr>
          </w:p>
        </w:tc>
        <w:tc>
          <w:tcPr>
            <w:tcW w:w="1517" w:type="dxa"/>
          </w:tcPr>
          <w:p w14:paraId="50175FDC">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开户银行：</w:t>
            </w:r>
          </w:p>
        </w:tc>
        <w:tc>
          <w:tcPr>
            <w:tcW w:w="2631" w:type="dxa"/>
          </w:tcPr>
          <w:p w14:paraId="2BC55B82">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中信银行福州榕城支行</w:t>
            </w:r>
          </w:p>
        </w:tc>
      </w:tr>
      <w:tr w14:paraId="7991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34964B24">
            <w:pPr>
              <w:widowControl w:val="0"/>
              <w:wordWrap w:val="0"/>
              <w:adjustRightInd w:val="0"/>
              <w:snapToGrid w:val="0"/>
              <w:spacing w:line="440" w:lineRule="exact"/>
              <w:jc w:val="left"/>
              <w:rPr>
                <w:rFonts w:hint="eastAsia" w:ascii="宋体" w:hAnsi="宋体" w:eastAsia="宋体" w:cs="宋体"/>
                <w:kern w:val="0"/>
                <w:sz w:val="21"/>
                <w:szCs w:val="21"/>
                <w:lang w:eastAsia="zh-CN"/>
              </w:rPr>
            </w:pPr>
          </w:p>
        </w:tc>
        <w:tc>
          <w:tcPr>
            <w:tcW w:w="2593" w:type="dxa"/>
          </w:tcPr>
          <w:p w14:paraId="04CD6DA9">
            <w:pPr>
              <w:widowControl w:val="0"/>
              <w:wordWrap w:val="0"/>
              <w:adjustRightInd w:val="0"/>
              <w:snapToGrid w:val="0"/>
              <w:spacing w:line="440" w:lineRule="exact"/>
              <w:jc w:val="left"/>
              <w:rPr>
                <w:rFonts w:hint="eastAsia" w:ascii="宋体" w:hAnsi="宋体" w:eastAsia="宋体" w:cs="宋体"/>
                <w:kern w:val="0"/>
                <w:sz w:val="21"/>
                <w:szCs w:val="21"/>
                <w:lang w:eastAsia="zh-CN"/>
              </w:rPr>
            </w:pPr>
          </w:p>
        </w:tc>
        <w:tc>
          <w:tcPr>
            <w:tcW w:w="1517" w:type="dxa"/>
          </w:tcPr>
          <w:p w14:paraId="57F4AE1B">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账    号：</w:t>
            </w:r>
          </w:p>
        </w:tc>
        <w:tc>
          <w:tcPr>
            <w:tcW w:w="2631" w:type="dxa"/>
          </w:tcPr>
          <w:p w14:paraId="60C8271C">
            <w:pPr>
              <w:widowControl w:val="0"/>
              <w:wordWrap w:val="0"/>
              <w:adjustRightInd w:val="0"/>
              <w:snapToGrid w:val="0"/>
              <w:spacing w:line="440" w:lineRule="exact"/>
              <w:jc w:val="left"/>
              <w:rPr>
                <w:rFonts w:hint="eastAsia" w:ascii="宋体" w:hAnsi="宋体" w:eastAsia="宋体" w:cs="宋体"/>
                <w:kern w:val="0"/>
                <w:sz w:val="21"/>
                <w:szCs w:val="21"/>
                <w:lang w:eastAsia="zh-CN"/>
              </w:rPr>
            </w:pPr>
            <w:r>
              <w:rPr>
                <w:rFonts w:hint="eastAsia" w:ascii="宋体" w:hAnsi="宋体" w:eastAsia="宋体" w:cs="宋体"/>
                <w:vanish w:val="0"/>
                <w:kern w:val="0"/>
                <w:sz w:val="21"/>
                <w:szCs w:val="21"/>
                <w:lang w:eastAsia="zh-CN"/>
              </w:rPr>
              <w:t>3111330075520005126</w:t>
            </w:r>
          </w:p>
        </w:tc>
      </w:tr>
    </w:tbl>
    <w:p w14:paraId="564B197B">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br w:type="textWrapping"/>
      </w:r>
      <w:r>
        <w:rPr>
          <w:rFonts w:hint="eastAsia" w:ascii="宋体" w:hAnsi="宋体" w:eastAsia="宋体" w:cs="宋体"/>
          <w:kern w:val="2"/>
          <w:sz w:val="21"/>
          <w:szCs w:val="21"/>
          <w:lang w:eastAsia="zh-CN"/>
        </w:rPr>
        <w:t xml:space="preserve">    9.2异议接收方式</w:t>
      </w:r>
    </w:p>
    <w:p w14:paraId="1A1D6505">
      <w:pPr>
        <w:widowControl w:val="0"/>
        <w:wordWrap w:val="0"/>
        <w:adjustRightInd w:val="0"/>
        <w:snapToGrid w:val="0"/>
        <w:spacing w:line="4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登录中国电信阳光采购网（https://caigou.chinatelecom.com.cn）后，通过“招投标-采购异议-提出异议”模块提出。</w:t>
      </w:r>
    </w:p>
    <w:p w14:paraId="74B9226B">
      <w:pPr>
        <w:widowControl w:val="0"/>
        <w:jc w:val="both"/>
        <w:rPr>
          <w:rFonts w:hint="eastAsia" w:ascii="宋体" w:hAnsi="宋体" w:eastAsia="宋体" w:cs="宋体"/>
          <w:kern w:val="2"/>
          <w:sz w:val="21"/>
          <w:szCs w:val="21"/>
          <w:lang w:eastAsia="zh-CN"/>
        </w:rPr>
      </w:pPr>
    </w:p>
    <w:p w14:paraId="7D6A4626">
      <w:pPr>
        <w:widowControl w:val="0"/>
        <w:wordWrap w:val="0"/>
        <w:adjustRightInd w:val="0"/>
        <w:snapToGrid w:val="0"/>
        <w:spacing w:line="440" w:lineRule="exact"/>
        <w:jc w:val="righ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采购代理机构：</w:t>
      </w:r>
      <w:r>
        <w:rPr>
          <w:rFonts w:hint="eastAsia" w:ascii="宋体" w:hAnsi="宋体" w:eastAsia="宋体" w:cs="宋体"/>
          <w:vanish w:val="0"/>
          <w:kern w:val="2"/>
          <w:sz w:val="21"/>
          <w:szCs w:val="21"/>
          <w:lang w:eastAsia="zh-CN"/>
        </w:rPr>
        <w:t>福建省中通通信有限公司</w:t>
      </w:r>
    </w:p>
    <w:p w14:paraId="71121391">
      <w:pPr>
        <w:widowControl w:val="0"/>
        <w:wordWrap w:val="0"/>
        <w:adjustRightInd w:val="0"/>
        <w:snapToGrid w:val="0"/>
        <w:spacing w:line="440" w:lineRule="exact"/>
        <w:jc w:val="right"/>
        <w:rPr>
          <w:rFonts w:hint="eastAsia" w:ascii="宋体" w:hAnsi="宋体" w:eastAsia="宋体" w:cs="宋体"/>
          <w:kern w:val="2"/>
          <w:sz w:val="21"/>
          <w:szCs w:val="21"/>
          <w:lang w:eastAsia="zh-CN"/>
        </w:rPr>
      </w:pPr>
      <w:r>
        <w:rPr>
          <w:rFonts w:hint="eastAsia" w:ascii="宋体" w:hAnsi="宋体" w:eastAsia="宋体" w:cs="宋体"/>
          <w:vanish w:val="0"/>
          <w:kern w:val="2"/>
          <w:sz w:val="21"/>
          <w:szCs w:val="21"/>
          <w:lang w:eastAsia="zh-CN"/>
        </w:rPr>
        <w:t>2026年0</w:t>
      </w:r>
      <w:r>
        <w:rPr>
          <w:rFonts w:hint="eastAsia" w:ascii="宋体" w:hAnsi="宋体" w:eastAsia="宋体" w:cs="宋体"/>
          <w:vanish w:val="0"/>
          <w:kern w:val="2"/>
          <w:sz w:val="21"/>
          <w:szCs w:val="21"/>
          <w:lang w:val="en-US" w:eastAsia="zh-CN"/>
        </w:rPr>
        <w:t>6</w:t>
      </w:r>
      <w:r>
        <w:rPr>
          <w:rFonts w:hint="eastAsia" w:ascii="宋体" w:hAnsi="宋体" w:eastAsia="宋体" w:cs="宋体"/>
          <w:vanish w:val="0"/>
          <w:kern w:val="2"/>
          <w:sz w:val="21"/>
          <w:szCs w:val="21"/>
          <w:lang w:eastAsia="zh-CN"/>
        </w:rPr>
        <w:t>月</w:t>
      </w:r>
      <w:r>
        <w:rPr>
          <w:rFonts w:hint="eastAsia" w:ascii="宋体" w:hAnsi="宋体" w:eastAsia="宋体" w:cs="宋体"/>
          <w:vanish w:val="0"/>
          <w:kern w:val="2"/>
          <w:sz w:val="21"/>
          <w:szCs w:val="21"/>
          <w:lang w:val="en-US" w:eastAsia="zh-CN"/>
        </w:rPr>
        <w:t>02</w:t>
      </w:r>
      <w:r>
        <w:rPr>
          <w:rFonts w:hint="eastAsia" w:ascii="宋体" w:hAnsi="宋体" w:eastAsia="宋体" w:cs="宋体"/>
          <w:vanish w:val="0"/>
          <w:kern w:val="2"/>
          <w:sz w:val="21"/>
          <w:szCs w:val="21"/>
          <w:lang w:eastAsia="zh-CN"/>
        </w:rPr>
        <w:t>日</w:t>
      </w:r>
    </w:p>
    <w:p w14:paraId="2E36AA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322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2026-06-02T03:22:08Z</dcterms:created>
  <dc:creator>11402</dc:creator>
  <cp:lastModifiedBy>11402</cp:lastModifiedBy>
  <dcterms:modified xsi:type="dcterms:W3CDTF">2026-06-02T03:22:38Z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eyJoZGlkIjoiYjhhYjA0MTQwZjFkZmEzMTQ3ZWQxZmYxMGRhZTU0NGYiLCJ1c2VySWQiOiIyNzMzOTE5NDYifQ==</vt:lpwstr>
  </property>
  <property fmtid="{D5CDD505-2E9C-101B-9397-08002B2CF9AE}" pid="4" name="ICV">
    <vt:lpwstr>2913299D7ADE4692B64155996FCD33CF_12</vt:lpwstr>
  </property>
</Properties>
</file>