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93CF7">
      <w:pPr>
        <w:pStyle w:val="55"/>
        <w:spacing w:before="240" w:after="120"/>
        <w:rPr>
          <w:rFonts w:hint="eastAsia" w:ascii="宋体" w:hAnsi="宋体" w:cs="宋体"/>
          <w:b/>
          <w:kern w:val="0"/>
          <w:sz w:val="28"/>
          <w:szCs w:val="28"/>
          <w:lang w:val="en-US" w:eastAsia="zh-CN"/>
        </w:rPr>
      </w:pPr>
      <w:bookmarkStart w:id="28" w:name="_GoBack"/>
      <w:bookmarkStart w:id="0" w:name="OLE_LINK24"/>
      <w:bookmarkStart w:id="1" w:name="OLE_LINK13"/>
      <w:bookmarkStart w:id="2" w:name="OLE_LINK9"/>
      <w:bookmarkStart w:id="3" w:name="OLE_LINK25"/>
      <w:bookmarkStart w:id="4" w:name="OLE_LINK14"/>
      <w:bookmarkStart w:id="5" w:name="OLE_LINK3"/>
      <w:bookmarkStart w:id="6" w:name="OLE_LINK23"/>
      <w:bookmarkStart w:id="7" w:name="OLE_LINK8"/>
      <w:bookmarkStart w:id="8" w:name="OLE_LINK2"/>
      <w:bookmarkStart w:id="9" w:name="OLE_LINK4"/>
      <w:bookmarkStart w:id="10" w:name="OLE_LINK28"/>
      <w:bookmarkStart w:id="11" w:name="OLE_LINK18"/>
      <w:bookmarkStart w:id="12" w:name="OLE_LINK19"/>
      <w:bookmarkStart w:id="13" w:name="OLE_LINK22"/>
      <w:bookmarkStart w:id="14" w:name="OLE_LINK15"/>
      <w:bookmarkStart w:id="15" w:name="OLE_LINK20"/>
      <w:bookmarkStart w:id="16" w:name="OLE_LINK16"/>
      <w:bookmarkStart w:id="17" w:name="OLE_LINK27"/>
      <w:bookmarkStart w:id="18" w:name="OLE_LINK26"/>
      <w:bookmarkStart w:id="19" w:name="OLE_LINK7"/>
      <w:bookmarkStart w:id="20" w:name="OLE_LINK11"/>
      <w:bookmarkStart w:id="21" w:name="OLE_LINK5"/>
      <w:bookmarkStart w:id="22" w:name="OLE_LINK21"/>
      <w:bookmarkStart w:id="23" w:name="OLE_LINK10"/>
      <w:bookmarkStart w:id="24" w:name="OLE_LINK6"/>
      <w:bookmarkStart w:id="25" w:name="OLE_LINK12"/>
      <w:bookmarkStart w:id="26" w:name="OLE_LINK1"/>
      <w:bookmarkStart w:id="27" w:name="OLE_LINK17"/>
      <w:r>
        <w:rPr>
          <w:rFonts w:hint="eastAsia" w:ascii="宋体" w:hAnsi="宋体" w:cs="宋体"/>
          <w:b/>
          <w:kern w:val="0"/>
          <w:sz w:val="28"/>
          <w:szCs w:val="28"/>
          <w:lang w:val="en-US" w:eastAsia="zh-CN"/>
        </w:rPr>
        <w:t>2025年中国电信集团工会晋江市委员会员工中秋慰问品采购项目</w:t>
      </w:r>
    </w:p>
    <w:bookmarkEnd w:id="28"/>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FB22B8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heme="minorEastAsia" w:hAnsiTheme="minorEastAsia" w:eastAsiaTheme="minorEastAsia"/>
          <w:color w:val="auto"/>
          <w:szCs w:val="21"/>
          <w:highlight w:val="none"/>
          <w:lang w:val="en-US"/>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2025年中国电信集团工会晋江市委员会员工中秋慰问品采购项目</w:t>
      </w:r>
      <w:r>
        <w:rPr>
          <w:rFonts w:hint="eastAsia" w:ascii="宋体" w:hAnsi="宋体"/>
          <w:szCs w:val="21"/>
          <w:highlight w:val="none"/>
        </w:rPr>
        <w:t>（项目编号：</w:t>
      </w:r>
      <w:r>
        <w:rPr>
          <w:rFonts w:hint="eastAsia" w:ascii="宋体" w:hAnsi="宋体"/>
          <w:szCs w:val="21"/>
          <w:highlight w:val="none"/>
          <w:u w:val="single"/>
          <w:lang w:eastAsia="zh-CN"/>
        </w:rPr>
        <w:t>FJZT-2025-12137</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中国电信集团工会晋江市委员会</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5DF5514E">
      <w:pPr>
        <w:pStyle w:val="5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1.</w:t>
      </w:r>
      <w:r>
        <w:rPr>
          <w:rFonts w:hint="eastAsia" w:asciiTheme="minorEastAsia" w:hAnsiTheme="minorEastAsia" w:eastAsiaTheme="minorEastAsia"/>
          <w:b/>
          <w:color w:val="auto"/>
          <w:szCs w:val="21"/>
          <w:highlight w:val="none"/>
        </w:rPr>
        <w:t>项目概况与采购内容</w:t>
      </w:r>
    </w:p>
    <w:p w14:paraId="1E46C42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1.1项目概况</w:t>
      </w:r>
    </w:p>
    <w:p w14:paraId="0FC4DC87">
      <w:pPr>
        <w:wordWrap w:val="0"/>
        <w:adjustRightInd w:val="0"/>
        <w:snapToGrid w:val="0"/>
        <w:spacing w:line="360" w:lineRule="auto"/>
        <w:ind w:firstLine="428" w:firstLineChars="200"/>
        <w:jc w:val="left"/>
        <w:rPr>
          <w:rFonts w:hint="eastAsia" w:ascii="宋体" w:hAnsi="宋体" w:eastAsia="宋体" w:cs="宋体"/>
          <w:spacing w:val="2"/>
          <w:szCs w:val="21"/>
          <w:highlight w:val="none"/>
          <w:u w:val="single"/>
          <w:lang w:eastAsia="zh-CN"/>
          <w14:ligatures w14:val="none"/>
        </w:rPr>
      </w:pPr>
      <w:r>
        <w:rPr>
          <w:rFonts w:hint="eastAsia" w:ascii="宋体" w:hAnsi="宋体"/>
          <w:spacing w:val="2"/>
          <w:szCs w:val="21"/>
          <w:highlight w:val="none"/>
          <w:u w:val="none"/>
        </w:rPr>
        <w:t>本项目采购内容</w:t>
      </w:r>
      <w:r>
        <w:rPr>
          <w:rFonts w:hint="eastAsia" w:ascii="宋体" w:hAnsi="宋体"/>
          <w:spacing w:val="2"/>
          <w:szCs w:val="21"/>
          <w:highlight w:val="none"/>
          <w:u w:val="none"/>
          <w:lang w:val="en-US" w:eastAsia="zh-CN"/>
        </w:rPr>
        <w:t>主要</w:t>
      </w:r>
      <w:r>
        <w:rPr>
          <w:rFonts w:hint="eastAsia" w:ascii="宋体" w:hAnsi="宋体"/>
          <w:spacing w:val="2"/>
          <w:szCs w:val="21"/>
          <w:highlight w:val="none"/>
          <w:u w:val="none"/>
          <w:lang w:eastAsia="zh-CN"/>
        </w:rPr>
        <w:t>是</w:t>
      </w:r>
      <w:r>
        <w:rPr>
          <w:rFonts w:hint="eastAsia" w:ascii="宋体" w:hAnsi="宋体"/>
          <w:spacing w:val="2"/>
          <w:szCs w:val="21"/>
          <w:highlight w:val="none"/>
          <w:u w:val="none"/>
          <w:lang w:val="en-US" w:eastAsia="zh-CN"/>
        </w:rPr>
        <w:t>员工中秋节慰问品，</w:t>
      </w:r>
      <w:r>
        <w:rPr>
          <w:rFonts w:hint="eastAsia" w:ascii="宋体" w:hAnsi="宋体"/>
          <w:spacing w:val="2"/>
          <w:szCs w:val="21"/>
          <w:highlight w:val="none"/>
        </w:rPr>
        <w:t>本项目为包干项目，供应商报价包含项目一切可预见和不可预见的费用</w:t>
      </w:r>
      <w:r>
        <w:rPr>
          <w:rFonts w:hint="eastAsia" w:ascii="宋体" w:hAnsi="宋体"/>
          <w:spacing w:val="2"/>
          <w:szCs w:val="21"/>
          <w:highlight w:val="none"/>
          <w:lang w:eastAsia="zh-CN"/>
        </w:rPr>
        <w:t>。</w:t>
      </w:r>
    </w:p>
    <w:p w14:paraId="51D2E9D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0C2BD392">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3371"/>
        <w:gridCol w:w="3373"/>
      </w:tblGrid>
      <w:tr w14:paraId="05D7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26" w:type="pct"/>
            <w:shd w:val="clear" w:color="000000" w:fill="F2F2F2"/>
            <w:noWrap/>
            <w:vAlign w:val="center"/>
          </w:tcPr>
          <w:p w14:paraId="1CFEE821">
            <w:pPr>
              <w:keepNext w:val="0"/>
              <w:keepLines w:val="0"/>
              <w:widowControl/>
              <w:suppressLineNumbers w:val="0"/>
              <w:spacing w:before="0" w:beforeAutospacing="0" w:after="0" w:afterAutospacing="0"/>
              <w:ind w:left="34" w:right="0" w:firstLine="0" w:firstLineChars="0"/>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1986" w:type="pct"/>
            <w:shd w:val="clear" w:color="000000" w:fill="F2F2F2"/>
            <w:noWrap/>
            <w:vAlign w:val="center"/>
          </w:tcPr>
          <w:p w14:paraId="0F7A5DED">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产品名称</w:t>
            </w:r>
          </w:p>
        </w:tc>
        <w:tc>
          <w:tcPr>
            <w:tcW w:w="1986" w:type="pct"/>
            <w:shd w:val="clear" w:color="000000" w:fill="F2F2F2"/>
            <w:noWrap/>
            <w:vAlign w:val="center"/>
          </w:tcPr>
          <w:p w14:paraId="33D17B9C">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预估数量</w:t>
            </w:r>
          </w:p>
        </w:tc>
      </w:tr>
      <w:tr w14:paraId="7324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26" w:type="pct"/>
            <w:shd w:val="clear" w:color="auto" w:fill="auto"/>
            <w:noWrap/>
            <w:vAlign w:val="center"/>
          </w:tcPr>
          <w:p w14:paraId="24A98DB4">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1</w:t>
            </w:r>
          </w:p>
        </w:tc>
        <w:tc>
          <w:tcPr>
            <w:tcW w:w="1986" w:type="pct"/>
            <w:shd w:val="clear" w:color="auto" w:fill="auto"/>
            <w:vAlign w:val="center"/>
          </w:tcPr>
          <w:p w14:paraId="4AE36B8D">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rPr>
              <w:t>中秋节员工慰问品</w:t>
            </w:r>
          </w:p>
        </w:tc>
        <w:tc>
          <w:tcPr>
            <w:tcW w:w="1986" w:type="pct"/>
            <w:shd w:val="clear" w:color="auto" w:fill="auto"/>
            <w:vAlign w:val="center"/>
          </w:tcPr>
          <w:p w14:paraId="215E1B9A">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highlight w:val="none"/>
                <w:lang w:val="en-US" w:eastAsia="zh-CN"/>
              </w:rPr>
              <w:t>750份</w:t>
            </w:r>
          </w:p>
        </w:tc>
      </w:tr>
      <w:tr w14:paraId="572C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3"/>
            <w:shd w:val="clear" w:color="auto" w:fill="auto"/>
            <w:noWrap/>
            <w:vAlign w:val="center"/>
          </w:tcPr>
          <w:p w14:paraId="2CADB828">
            <w:pPr>
              <w:keepNext w:val="0"/>
              <w:keepLines w:val="0"/>
              <w:widowControl/>
              <w:suppressLineNumbers w:val="0"/>
              <w:spacing w:before="0" w:beforeAutospacing="0" w:after="0" w:afterAutospacing="0"/>
              <w:ind w:left="0" w:right="0"/>
              <w:jc w:val="center"/>
              <w:rPr>
                <w:rFonts w:hint="eastAsia" w:ascii="宋体" w:hAnsi="宋体" w:cs="宋体" w:eastAsiaTheme="minorEastAsia"/>
                <w:kern w:val="0"/>
                <w:szCs w:val="21"/>
                <w:highlight w:val="none"/>
                <w:lang w:val="en-US" w:eastAsia="zh-CN"/>
              </w:rPr>
            </w:pPr>
            <w:r>
              <w:rPr>
                <w:rFonts w:hint="eastAsia" w:cs="Times New Roman" w:asciiTheme="minorEastAsia" w:hAnsiTheme="minorEastAsia" w:eastAsiaTheme="minorEastAsia"/>
                <w:highlight w:val="none"/>
                <w:u w:val="none"/>
              </w:rPr>
              <w:t>具体以采购人实际需求数量为准</w:t>
            </w:r>
            <w:r>
              <w:rPr>
                <w:rFonts w:hint="eastAsia" w:cs="Times New Roman" w:asciiTheme="minorEastAsia" w:hAnsiTheme="minorEastAsia" w:eastAsiaTheme="minorEastAsia"/>
                <w:highlight w:val="none"/>
                <w:u w:val="none"/>
                <w:lang w:eastAsia="zh-CN"/>
              </w:rPr>
              <w:t>，</w:t>
            </w:r>
            <w:r>
              <w:rPr>
                <w:rFonts w:hint="eastAsia" w:cs="Times New Roman" w:asciiTheme="minorEastAsia" w:hAnsiTheme="minorEastAsia" w:eastAsiaTheme="minorEastAsia"/>
                <w:highlight w:val="none"/>
                <w:u w:val="none"/>
              </w:rPr>
              <w:t>供应商报价时应自行考虑数量变化所可能带来的影响</w:t>
            </w:r>
            <w:r>
              <w:rPr>
                <w:rFonts w:hint="eastAsia" w:cs="Times New Roman" w:asciiTheme="minorEastAsia" w:hAnsiTheme="minorEastAsia" w:eastAsiaTheme="minorEastAsia"/>
                <w:highlight w:val="none"/>
                <w:u w:val="none"/>
                <w:lang w:eastAsia="zh-CN"/>
              </w:rPr>
              <w:t>，</w:t>
            </w:r>
            <w:r>
              <w:rPr>
                <w:rFonts w:hint="eastAsia" w:cs="Times New Roman" w:asciiTheme="minorEastAsia" w:hAnsiTheme="minorEastAsia" w:eastAsiaTheme="minorEastAsia"/>
                <w:szCs w:val="21"/>
                <w:highlight w:val="none"/>
              </w:rPr>
              <w:t>具体技术参数详见</w:t>
            </w:r>
            <w:r>
              <w:rPr>
                <w:rFonts w:hint="eastAsia" w:cs="Times New Roman" w:asciiTheme="minorEastAsia" w:hAnsiTheme="minorEastAsia" w:eastAsiaTheme="minorEastAsia"/>
                <w:szCs w:val="21"/>
                <w:highlight w:val="none"/>
                <w:lang w:eastAsia="zh-CN"/>
              </w:rPr>
              <w:t>询比文件</w:t>
            </w:r>
            <w:r>
              <w:rPr>
                <w:rFonts w:hint="eastAsia" w:cs="Times New Roman" w:asciiTheme="minorEastAsia" w:hAnsiTheme="minorEastAsia" w:eastAsiaTheme="minorEastAsia"/>
                <w:szCs w:val="21"/>
                <w:highlight w:val="none"/>
              </w:rPr>
              <w:t>第五章技术规范书</w:t>
            </w:r>
            <w:r>
              <w:rPr>
                <w:rFonts w:hint="eastAsia" w:cs="Times New Roman" w:asciiTheme="minorEastAsia" w:hAnsiTheme="minorEastAsia" w:eastAsiaTheme="minorEastAsia"/>
                <w:szCs w:val="21"/>
                <w:highlight w:val="none"/>
                <w:lang w:eastAsia="zh-CN"/>
              </w:rPr>
              <w:t>。</w:t>
            </w:r>
          </w:p>
        </w:tc>
      </w:tr>
    </w:tbl>
    <w:p w14:paraId="5F1DD105">
      <w:pPr>
        <w:wordWrap w:val="0"/>
        <w:adjustRightInd w:val="0"/>
        <w:snapToGrid w:val="0"/>
        <w:spacing w:line="360" w:lineRule="auto"/>
        <w:ind w:firstLine="420" w:firstLineChars="200"/>
        <w:jc w:val="left"/>
        <w:rPr>
          <w:rFonts w:ascii="等线" w:hAnsi="等线" w:eastAsia="等线"/>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1169D0F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90000</w:t>
      </w:r>
      <w:r>
        <w:rPr>
          <w:rFonts w:hint="eastAsia" w:ascii="宋体" w:hAnsi="宋体" w:eastAsia="宋体" w:cs="宋体"/>
          <w:szCs w:val="21"/>
          <w:highlight w:val="none"/>
          <w:lang w:bidi="ar"/>
          <w14:ligatures w14:val="none"/>
        </w:rPr>
        <w:t>】元（含税）；</w:t>
      </w:r>
    </w:p>
    <w:p w14:paraId="65F2222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6C57B35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cs="宋体"/>
          <w:szCs w:val="21"/>
          <w:highlight w:val="none"/>
          <w:lang w:bidi="ar"/>
        </w:rPr>
        <w:t>★</w:t>
      </w:r>
      <w:r>
        <w:rPr>
          <w:rFonts w:hint="eastAsia" w:ascii="宋体" w:hAnsi="宋体" w:eastAsia="宋体" w:cs="宋体"/>
          <w:szCs w:val="21"/>
          <w:highlight w:val="none"/>
          <w:lang w:val="en-US" w:eastAsia="zh-CN"/>
          <w14:ligatures w14:val="none"/>
        </w:rPr>
        <w:t>配送完成期：</w:t>
      </w:r>
      <w:r>
        <w:rPr>
          <w:rFonts w:hint="eastAsia" w:ascii="宋体" w:hAnsi="宋体"/>
          <w:szCs w:val="21"/>
          <w:highlight w:val="none"/>
        </w:rPr>
        <w:t>自接到采购人通知之日起7个日历日内完成配送</w:t>
      </w:r>
      <w:r>
        <w:rPr>
          <w:rFonts w:hint="eastAsia" w:ascii="宋体" w:hAnsi="宋体"/>
          <w:szCs w:val="21"/>
          <w:highlight w:val="none"/>
          <w:lang w:eastAsia="zh-CN"/>
        </w:rPr>
        <w:t>。</w:t>
      </w:r>
      <w:r>
        <w:rPr>
          <w:rFonts w:hint="eastAsia" w:ascii="宋体" w:hAnsi="宋体" w:eastAsia="宋体" w:cs="宋体"/>
          <w:szCs w:val="21"/>
          <w:highlight w:val="none"/>
          <w:lang w:bidi="ar"/>
          <w14:ligatures w14:val="none"/>
        </w:rPr>
        <w:t xml:space="preserve"> </w:t>
      </w:r>
    </w:p>
    <w:p w14:paraId="1550B690">
      <w:pPr>
        <w:wordWrap w:val="0"/>
        <w:adjustRightInd w:val="0"/>
        <w:snapToGrid w:val="0"/>
        <w:spacing w:line="360" w:lineRule="auto"/>
        <w:ind w:firstLine="420" w:firstLineChars="200"/>
        <w:jc w:val="left"/>
        <w:rPr>
          <w:rFonts w:hint="eastAsia" w:ascii="宋体" w:hAnsi="宋体"/>
          <w:szCs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w:t>
      </w:r>
      <w:r>
        <w:rPr>
          <w:rFonts w:hint="eastAsia" w:ascii="宋体" w:hAnsi="宋体" w:cs="宋体"/>
          <w:szCs w:val="21"/>
          <w:highlight w:val="none"/>
          <w:lang w:bidi="ar"/>
        </w:rPr>
        <w:t>★</w:t>
      </w:r>
      <w:r>
        <w:rPr>
          <w:rFonts w:hint="eastAsia" w:ascii="宋体" w:hAnsi="宋体" w:eastAsia="宋体" w:cs="宋体"/>
          <w:szCs w:val="21"/>
          <w:highlight w:val="none"/>
          <w:lang w:bidi="ar"/>
          <w14:ligatures w14:val="none"/>
        </w:rPr>
        <w:t>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szCs w:val="21"/>
          <w:highlight w:val="none"/>
        </w:rPr>
        <w:t>福建省泉州市采购人指定地点</w:t>
      </w:r>
      <w:r>
        <w:rPr>
          <w:rFonts w:hint="eastAsia" w:ascii="宋体" w:hAnsi="宋体"/>
          <w:szCs w:val="21"/>
          <w:highlight w:val="none"/>
          <w:lang w:eastAsia="zh-CN"/>
        </w:rPr>
        <w:t>。</w:t>
      </w:r>
    </w:p>
    <w:p w14:paraId="68AB53C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1DC6FAE7">
      <w:pPr>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Cs w:val="21"/>
          <w:highlight w:val="none"/>
          <w:lang w:bidi="ar"/>
          <w14:ligatures w14:val="none"/>
        </w:rPr>
        <w:t>1.4本项目设置最高响应限价，最高响应限价</w:t>
      </w:r>
      <w:r>
        <w:rPr>
          <w:rFonts w:hint="eastAsia" w:ascii="宋体" w:hAnsi="宋体" w:eastAsia="宋体" w:cs="宋体"/>
          <w:szCs w:val="21"/>
          <w:highlight w:val="none"/>
          <w:lang w:val="en-US" w:eastAsia="zh-CN" w:bidi="ar"/>
          <w14:ligatures w14:val="none"/>
        </w:rPr>
        <w:t>为</w:t>
      </w:r>
      <w:r>
        <w:rPr>
          <w:rFonts w:hint="eastAsia" w:asciiTheme="minorEastAsia" w:hAnsiTheme="minorEastAsia" w:eastAsiaTheme="minorEastAsia"/>
          <w:szCs w:val="21"/>
        </w:rPr>
        <w:t>含税单价人民币</w:t>
      </w:r>
      <w:r>
        <w:rPr>
          <w:rFonts w:hint="eastAsia" w:ascii="宋体" w:hAnsi="宋体" w:eastAsia="宋体" w:cs="宋体"/>
          <w:color w:val="FF0000"/>
          <w:szCs w:val="21"/>
          <w:highlight w:val="none"/>
          <w14:ligatures w14:val="none"/>
        </w:rPr>
        <w:t>【</w:t>
      </w:r>
      <w:r>
        <w:rPr>
          <w:rFonts w:hint="eastAsia" w:asciiTheme="minorEastAsia" w:hAnsiTheme="minorEastAsia" w:eastAsiaTheme="minorEastAsia"/>
          <w:color w:val="FF0000"/>
          <w:szCs w:val="21"/>
        </w:rPr>
        <w:t>120】</w:t>
      </w:r>
      <w:r>
        <w:rPr>
          <w:rFonts w:hint="eastAsia" w:asciiTheme="minorEastAsia" w:hAnsiTheme="minorEastAsia" w:eastAsiaTheme="minorEastAsia"/>
          <w:szCs w:val="21"/>
        </w:rPr>
        <w:t>元/份</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，供应商响应报价高于最高响应限价的，其响应将被否决。</w:t>
      </w:r>
    </w:p>
    <w:p w14:paraId="02E55AA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p>
    <w:p w14:paraId="714F6357">
      <w:pPr>
        <w:spacing w:line="440" w:lineRule="exact"/>
        <w:rPr>
          <w:rFonts w:hint="eastAsia" w:ascii="宋体" w:hAnsi="宋体"/>
          <w:b/>
          <w:bCs/>
          <w:szCs w:val="21"/>
          <w:highlight w:val="none"/>
        </w:rPr>
      </w:pPr>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单位负责人为同一人或者存在控股、管理关系的不同单位，不得同时参加本项目中同一标包</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或者未划分标包的同一项目</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6982C869">
      <w:pPr>
        <w:spacing w:line="440" w:lineRule="exact"/>
        <w:ind w:firstLine="420" w:firstLineChars="200"/>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BE6F93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（1）为采购人不具有独立法人资格的附属机构（单位）；</w:t>
      </w:r>
    </w:p>
    <w:p w14:paraId="5E56469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（2）被依法暂停或取消投标/响应资格的；</w:t>
      </w:r>
    </w:p>
    <w:p w14:paraId="5EC3B2F5">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453BF68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584468D4">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（5）在最近三年内（自2022年起，月日以响应截止时间的月日为准）被相关行业主管部门或司法机关认定有骗取中标/成交、严重违约、重大工程质量或者安全问题的；</w:t>
      </w:r>
    </w:p>
    <w:p w14:paraId="2494FFF0">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（6）在最近五年内（自2020年起，月日以响应截止时间的月日为准）被判处单位行贿罪，且行贿行为与采购活动相关的（以“中国裁判文书网”的生效判决为准）；</w:t>
      </w:r>
    </w:p>
    <w:p w14:paraId="6D4E589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（7）在最近五年内（自2020年起，月日以响应截止时间的月日为准）被判处合同诈骗罪的（以“中国裁判文书网”的生效判决为准）；</w:t>
      </w:r>
    </w:p>
    <w:p w14:paraId="5D40CB3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247A6FE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（9）为本询比项目提供过设计、编制技术规范和其他文件的咨询服务；</w:t>
      </w:r>
    </w:p>
    <w:p w14:paraId="0E7385B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4A3BA37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（11）为本询比项目的代建人；</w:t>
      </w:r>
    </w:p>
    <w:p w14:paraId="2A381F9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（12）为本询比项目的采购代理机构；</w:t>
      </w:r>
    </w:p>
    <w:p w14:paraId="75EAD8C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（13）与本询比项目的监理人或代建人或采购代理机构同为一个法定代表人；</w:t>
      </w:r>
    </w:p>
    <w:p w14:paraId="0860596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（14）与本询比项目的监理人或代建人或采购代理机构存在控股或参股关系；</w:t>
      </w:r>
    </w:p>
    <w:p w14:paraId="43646DB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778E948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（16）中国电信在职员工违规担任供应商法定代表人并参与采购活动的；</w:t>
      </w:r>
    </w:p>
    <w:p w14:paraId="0AE76952">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（17）中国电信集团有限公司/中国电信股份有限公司中层及以上管理人员违反有关领导人员配偶、子女及其配偶经商办企业行为管理规定，其配偶、子女及其配偶经商办企业参与采购活动的；</w:t>
      </w:r>
    </w:p>
    <w:p w14:paraId="58C98C9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（18）中国电信领导人员离职或退休后三年内违反《国有企业领导人员廉洁从业若干规定》等相关规定任职、投资入股的私营企业、外资企业和中介机构，参与其原任职单位采购活动的；</w:t>
      </w:r>
    </w:p>
    <w:p w14:paraId="2B17072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（19）其他按照中国电信供应商不良行为处理结果及《中国电信供应商不良行为管理规则》的结果执行规则，应对供应商及其响应产品在本项目中执行禁止采购处理措施的；</w:t>
      </w:r>
    </w:p>
    <w:p w14:paraId="532E2D15">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（20）被列入司法拍卖尚未被移出的（以通过“中国电信MSS智慧法务子系统-合同管理”模块中“信用管理”查询数据为准）；</w:t>
      </w:r>
    </w:p>
    <w:p w14:paraId="355F1DE0">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（21）被列入严重违法尚未被移出的，且严重违法行为符合上述20条情形的（以通过“中国电信MSS智慧法务子系统-合同管理”模块中“信用管理”查询数据为准）。</w:t>
      </w:r>
    </w:p>
    <w:p w14:paraId="27CEDFB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22</w:t>
      </w:r>
      <w:r>
        <w:rPr>
          <w:rFonts w:hint="eastAsia" w:ascii="宋体" w:hAnsi="宋体" w:cs="宋体"/>
          <w:szCs w:val="21"/>
          <w:highlight w:val="none"/>
          <w:lang w:bidi="ar"/>
        </w:rPr>
        <w:t>）法律法规、询比文件限定的其他情形。</w:t>
      </w:r>
    </w:p>
    <w:p w14:paraId="2DE1379E">
      <w:pPr>
        <w:adjustRightInd w:val="0"/>
        <w:snapToGrid w:val="0"/>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供应商是代理商的，本条所指的供应商也包括其所代理的制造商</w:t>
      </w:r>
      <w:r>
        <w:rPr>
          <w:rFonts w:hint="eastAsia" w:ascii="宋体" w:hAnsi="宋体"/>
          <w:szCs w:val="21"/>
          <w:highlight w:val="none"/>
        </w:rPr>
        <w:t>。</w:t>
      </w:r>
    </w:p>
    <w:p w14:paraId="13FEBC60">
      <w:pPr>
        <w:pStyle w:val="5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3.</w:t>
      </w:r>
      <w:r>
        <w:rPr>
          <w:rFonts w:hint="eastAsia" w:asciiTheme="minorEastAsia" w:hAnsiTheme="minorEastAsia" w:eastAsiaTheme="minorEastAsia"/>
          <w:b/>
          <w:color w:val="auto"/>
          <w:szCs w:val="21"/>
          <w:highlight w:val="none"/>
          <w:lang w:eastAsia="zh-CN"/>
        </w:rPr>
        <w:t>询比文件</w:t>
      </w:r>
      <w:r>
        <w:rPr>
          <w:rFonts w:hint="eastAsia" w:asciiTheme="minorEastAsia" w:hAnsiTheme="minorEastAsia" w:eastAsiaTheme="minorEastAsia"/>
          <w:b/>
          <w:color w:val="auto"/>
          <w:szCs w:val="21"/>
          <w:highlight w:val="none"/>
          <w:lang w:val="en-US" w:eastAsia="zh-CN"/>
        </w:rPr>
        <w:t>的</w:t>
      </w:r>
      <w:r>
        <w:rPr>
          <w:rFonts w:hint="eastAsia" w:asciiTheme="minorEastAsia" w:hAnsiTheme="minorEastAsia" w:eastAsiaTheme="minorEastAsia"/>
          <w:b/>
          <w:color w:val="auto"/>
          <w:szCs w:val="21"/>
          <w:highlight w:val="none"/>
        </w:rPr>
        <w:t>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lang w:val="en-US" w:eastAsia="zh-CN"/>
        </w:rPr>
        <w:t>3</w:t>
      </w:r>
      <w:r>
        <w:rPr>
          <w:rFonts w:hint="eastAsia" w:ascii="宋体" w:hAnsi="宋体"/>
          <w:spacing w:val="2"/>
          <w:szCs w:val="21"/>
          <w:highlight w:val="none"/>
        </w:rPr>
        <w:t>.1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20</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23</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37886F70">
      <w:pPr>
        <w:numPr>
          <w:ilvl w:val="0"/>
          <w:numId w:val="0"/>
        </w:numPr>
        <w:snapToGrid w:val="0"/>
        <w:spacing w:line="360" w:lineRule="exact"/>
        <w:ind w:left="426" w:leftChars="0"/>
        <w:rPr>
          <w:rFonts w:cs="Times New Roman" w:asciiTheme="minorEastAsia" w:hAnsiTheme="minorEastAsia" w:eastAsiaTheme="minorEastAsia"/>
          <w:spacing w:val="2"/>
          <w:szCs w:val="21"/>
          <w:highlight w:val="none"/>
        </w:rPr>
      </w:pPr>
      <w:r>
        <w:rPr>
          <w:rFonts w:hint="eastAsia" w:ascii="宋体" w:hAnsi="宋体"/>
          <w:spacing w:val="2"/>
          <w:szCs w:val="21"/>
          <w:highlight w:val="none"/>
          <w:lang w:val="en-US" w:eastAsia="zh-CN"/>
        </w:rPr>
        <w:t>3</w:t>
      </w:r>
      <w:r>
        <w:rPr>
          <w:rFonts w:hint="eastAsia" w:ascii="宋体" w:hAnsi="宋体"/>
          <w:spacing w:val="2"/>
          <w:szCs w:val="21"/>
          <w:highlight w:val="none"/>
        </w:rPr>
        <w:t>.2</w:t>
      </w:r>
      <w:r>
        <w:rPr>
          <w:rFonts w:hint="eastAsia" w:ascii="宋体" w:hAnsi="宋体" w:cs="Times New Roman"/>
          <w:spacing w:val="2"/>
          <w:szCs w:val="21"/>
          <w:highlight w:val="none"/>
          <w:lang w:eastAsia="zh-CN"/>
        </w:rPr>
        <w:t>询比文件</w:t>
      </w:r>
      <w:r>
        <w:rPr>
          <w:rFonts w:hint="eastAsia" w:ascii="宋体" w:hAnsi="宋体" w:cs="Times New Roman"/>
          <w:spacing w:val="2"/>
          <w:szCs w:val="21"/>
          <w:highlight w:val="none"/>
        </w:rPr>
        <w:t>每套售价</w:t>
      </w:r>
      <w:r>
        <w:rPr>
          <w:rFonts w:ascii="宋体" w:hAnsi="宋体" w:cs="Times New Roman"/>
          <w:highlight w:val="none"/>
          <w:u w:val="single"/>
        </w:rPr>
        <w:t>3</w:t>
      </w:r>
      <w:r>
        <w:rPr>
          <w:rFonts w:hint="eastAsia" w:ascii="宋体" w:hAnsi="宋体" w:cs="Times New Roman"/>
          <w:highlight w:val="none"/>
          <w:u w:val="single"/>
        </w:rPr>
        <w:t>00</w:t>
      </w:r>
      <w:r>
        <w:rPr>
          <w:rFonts w:hint="eastAsia" w:ascii="宋体" w:hAnsi="宋体" w:cs="Times New Roman"/>
          <w:spacing w:val="2"/>
          <w:szCs w:val="21"/>
          <w:highlight w:val="none"/>
        </w:rPr>
        <w:t>元人民币，售后不退</w:t>
      </w:r>
      <w:r>
        <w:rPr>
          <w:rFonts w:hint="eastAsia" w:cs="Times New Roman" w:asciiTheme="minorEastAsia" w:hAnsiTheme="minorEastAsia" w:eastAsiaTheme="minorEastAsia"/>
          <w:szCs w:val="21"/>
          <w:highlight w:val="none"/>
        </w:rPr>
        <w:t>。</w:t>
      </w:r>
    </w:p>
    <w:p w14:paraId="38237CA4">
      <w:pPr>
        <w:spacing w:line="440" w:lineRule="exact"/>
        <w:ind w:firstLine="428" w:firstLineChars="200"/>
        <w:rPr>
          <w:rFonts w:asciiTheme="minorEastAsia" w:hAnsiTheme="minorEastAsia" w:eastAsiaTheme="minorEastAsia"/>
          <w:color w:val="auto"/>
          <w:spacing w:val="2"/>
          <w:szCs w:val="21"/>
          <w:highlight w:val="none"/>
        </w:rPr>
      </w:pPr>
      <w:r>
        <w:rPr>
          <w:rFonts w:hint="eastAsia" w:cs="Times New Roman" w:asciiTheme="minorEastAsia" w:hAnsiTheme="minorEastAsia" w:eastAsiaTheme="minorEastAsia"/>
          <w:spacing w:val="2"/>
          <w:szCs w:val="21"/>
          <w:highlight w:val="none"/>
          <w:lang w:val="en-US" w:eastAsia="zh-CN"/>
        </w:rPr>
        <w:t>3.3</w:t>
      </w:r>
      <w:r>
        <w:rPr>
          <w:rFonts w:hint="eastAsia" w:cs="Times New Roman" w:asciiTheme="minorEastAsia" w:hAnsiTheme="minorEastAsia" w:eastAsiaTheme="minorEastAsia"/>
          <w:spacing w:val="2"/>
          <w:szCs w:val="21"/>
          <w:highlight w:val="none"/>
        </w:rPr>
        <w:t>获取方式：</w:t>
      </w:r>
      <w:r>
        <w:rPr>
          <w:rFonts w:hint="eastAsia" w:ascii="宋体" w:hAnsi="宋体" w:cs="Times New Roman"/>
          <w:spacing w:val="2"/>
          <w:szCs w:val="21"/>
          <w:highlight w:val="none"/>
        </w:rPr>
        <w:t>关注采购代理机构电子招投标平台（https://zb.chinaccsscm.cn/）并根据提示完成注册、</w:t>
      </w:r>
      <w:r>
        <w:rPr>
          <w:rFonts w:hint="eastAsia" w:ascii="宋体" w:hAnsi="宋体" w:cs="Times New Roman"/>
          <w:spacing w:val="2"/>
          <w:szCs w:val="21"/>
          <w:highlight w:val="none"/>
          <w:lang w:eastAsia="zh-CN"/>
        </w:rPr>
        <w:t>询比文件</w:t>
      </w:r>
      <w:r>
        <w:rPr>
          <w:rFonts w:hint="eastAsia" w:ascii="宋体" w:hAnsi="宋体" w:cs="Times New Roman"/>
          <w:spacing w:val="2"/>
          <w:szCs w:val="21"/>
          <w:highlight w:val="none"/>
        </w:rPr>
        <w:t>费用支付或关注“链捷招”的微信公众号，在“链捷招-投标”中根据提示完成</w:t>
      </w:r>
      <w:r>
        <w:rPr>
          <w:rFonts w:hint="eastAsia" w:ascii="宋体" w:hAnsi="宋体" w:cs="Times New Roman"/>
          <w:spacing w:val="2"/>
          <w:szCs w:val="21"/>
          <w:highlight w:val="none"/>
          <w:lang w:eastAsia="zh-CN"/>
        </w:rPr>
        <w:t>询比文件</w:t>
      </w:r>
      <w:r>
        <w:rPr>
          <w:rFonts w:hint="eastAsia" w:ascii="宋体" w:hAnsi="宋体" w:cs="Times New Roman"/>
          <w:spacing w:val="2"/>
          <w:szCs w:val="21"/>
          <w:highlight w:val="none"/>
        </w:rPr>
        <w:t>费用支付（注册审核联系商务专员，电话：18060753032）</w:t>
      </w:r>
      <w:r>
        <w:rPr>
          <w:rFonts w:hint="eastAsia" w:ascii="宋体" w:hAnsi="宋体"/>
          <w:spacing w:val="2"/>
          <w:szCs w:val="21"/>
          <w:highlight w:val="none"/>
        </w:rPr>
        <w:t>。</w:t>
      </w:r>
    </w:p>
    <w:p w14:paraId="2B534F4D">
      <w:pPr>
        <w:pStyle w:val="5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val="en-US" w:eastAsia="zh-CN"/>
        </w:rPr>
        <w:t>4.</w:t>
      </w:r>
      <w:r>
        <w:rPr>
          <w:rFonts w:hint="eastAsia" w:asciiTheme="minorEastAsia" w:hAnsiTheme="minorEastAsia" w:eastAsiaTheme="minorEastAsia"/>
          <w:b/>
          <w:color w:val="auto"/>
          <w:szCs w:val="21"/>
          <w:highlight w:val="none"/>
          <w:lang w:eastAsia="zh-CN"/>
        </w:rPr>
        <w:t>响应文件的</w:t>
      </w:r>
      <w:r>
        <w:rPr>
          <w:rFonts w:hint="eastAsia" w:asciiTheme="minorEastAsia" w:hAnsiTheme="minorEastAsia" w:eastAsiaTheme="minorEastAsia"/>
          <w:b/>
          <w:color w:val="auto"/>
          <w:szCs w:val="21"/>
          <w:highlight w:val="none"/>
          <w:lang w:val="en-US" w:eastAsia="zh-CN"/>
        </w:rPr>
        <w:t>提交</w:t>
      </w:r>
    </w:p>
    <w:p w14:paraId="424FC018">
      <w:pPr>
        <w:pStyle w:val="53"/>
        <w:numPr>
          <w:ilvl w:val="1"/>
          <w:numId w:val="0"/>
        </w:numPr>
        <w:adjustRightInd w:val="0"/>
        <w:snapToGrid w:val="0"/>
        <w:spacing w:line="360" w:lineRule="exact"/>
        <w:ind w:left="0" w:leftChars="0" w:firstLine="420" w:firstLineChars="0"/>
        <w:rPr>
          <w:rFonts w:asciiTheme="minorEastAsia" w:hAnsiTheme="minorEastAsia" w:eastAsiaTheme="minorEastAsia"/>
          <w:color w:val="auto"/>
          <w:szCs w:val="21"/>
          <w:highlight w:val="none"/>
        </w:rPr>
      </w:pPr>
      <w:r>
        <w:rPr>
          <w:rFonts w:hint="default" w:ascii="宋体" w:hAnsi="宋体" w:eastAsia="宋体" w:cs="宋体"/>
          <w:color w:val="auto"/>
          <w:kern w:val="2"/>
          <w:sz w:val="21"/>
          <w:szCs w:val="21"/>
          <w:highlight w:val="none"/>
          <w:lang w:val="en-US" w:eastAsia="zh-CN" w:bidi="ar-SA"/>
        </w:rPr>
        <w:t>4.1</w:t>
      </w:r>
      <w:r>
        <w:rPr>
          <w:rFonts w:hint="eastAsia" w:asciiTheme="minorEastAsia" w:hAnsiTheme="minorEastAsia" w:eastAsiaTheme="minorEastAsia"/>
          <w:color w:val="auto"/>
          <w:szCs w:val="21"/>
          <w:highlight w:val="none"/>
          <w:lang w:eastAsia="zh-CN"/>
        </w:rPr>
        <w:t>响应文件</w:t>
      </w:r>
      <w:r>
        <w:rPr>
          <w:rFonts w:hint="eastAsia" w:asciiTheme="minorEastAsia" w:hAnsiTheme="minorEastAsia" w:eastAsiaTheme="minorEastAsia"/>
          <w:color w:val="auto"/>
          <w:szCs w:val="21"/>
          <w:highlight w:val="none"/>
          <w:lang w:val="en-US" w:eastAsia="zh-CN"/>
        </w:rPr>
        <w:t>提交</w:t>
      </w:r>
      <w:r>
        <w:rPr>
          <w:rFonts w:hint="eastAsia" w:asciiTheme="minorEastAsia" w:hAnsiTheme="minorEastAsia" w:eastAsiaTheme="minorEastAsia"/>
          <w:color w:val="auto"/>
          <w:highlight w:val="none"/>
          <w:lang w:val="en-US" w:eastAsia="zh-CN"/>
        </w:rPr>
        <w:t>截止时间</w:t>
      </w:r>
      <w:r>
        <w:rPr>
          <w:rFonts w:hint="eastAsia" w:asciiTheme="minorEastAsia" w:hAnsiTheme="minorEastAsia" w:eastAsiaTheme="minorEastAsia"/>
          <w:color w:val="auto"/>
          <w:szCs w:val="21"/>
          <w:highlight w:val="none"/>
        </w:rPr>
        <w:t>（即</w:t>
      </w:r>
      <w:r>
        <w:rPr>
          <w:rFonts w:hint="eastAsia" w:asciiTheme="minorEastAsia" w:hAnsiTheme="minorEastAsia" w:eastAsiaTheme="minorEastAsia"/>
          <w:color w:val="auto"/>
          <w:szCs w:val="21"/>
          <w:highlight w:val="none"/>
          <w:lang w:val="en-US" w:eastAsia="zh-CN"/>
        </w:rPr>
        <w:t>响应</w:t>
      </w:r>
      <w:r>
        <w:rPr>
          <w:rFonts w:hint="eastAsia" w:asciiTheme="minorEastAsia" w:hAnsiTheme="minorEastAsia" w:eastAsiaTheme="minorEastAsia"/>
          <w:color w:val="auto"/>
          <w:szCs w:val="21"/>
          <w:highlight w:val="none"/>
        </w:rPr>
        <w:t>截止时间）</w:t>
      </w:r>
      <w:r>
        <w:rPr>
          <w:rFonts w:hint="eastAsia" w:asciiTheme="minorEastAsia" w:hAnsiTheme="minorEastAsia" w:eastAsiaTheme="minorEastAsia"/>
          <w:color w:val="auto"/>
          <w:highlight w:val="none"/>
        </w:rPr>
        <w:t>：</w:t>
      </w:r>
      <w:r>
        <w:rPr>
          <w:rFonts w:hint="eastAsia" w:ascii="宋体" w:hAnsi="宋体"/>
          <w:szCs w:val="21"/>
          <w:highlight w:val="none"/>
        </w:rPr>
        <w:t>【</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26</w:t>
      </w:r>
      <w:r>
        <w:rPr>
          <w:rFonts w:hint="eastAsia" w:asciiTheme="minorEastAsia" w:hAnsiTheme="minorEastAsia" w:eastAsiaTheme="minorEastAsia"/>
          <w:color w:val="FF0000"/>
          <w:szCs w:val="21"/>
          <w:highlight w:val="none"/>
        </w:rPr>
        <w:t>日</w:t>
      </w:r>
      <w:r>
        <w:rPr>
          <w:rFonts w:hint="eastAsia" w:ascii="宋体" w:hAnsi="宋体" w:eastAsiaTheme="minorEastAsia"/>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Theme="minorEastAsia" w:hAnsiTheme="minorEastAsia" w:eastAsiaTheme="minorEastAsia"/>
          <w:color w:val="auto"/>
          <w:szCs w:val="21"/>
          <w:highlight w:val="none"/>
        </w:rPr>
        <w:t>。</w:t>
      </w:r>
    </w:p>
    <w:p w14:paraId="0F59BCAD">
      <w:pPr>
        <w:pStyle w:val="53"/>
        <w:keepNext w:val="0"/>
        <w:keepLines w:val="0"/>
        <w:pageBreakBefore w:val="0"/>
        <w:widowControl w:val="0"/>
        <w:numPr>
          <w:ilvl w:val="1"/>
          <w:numId w:val="0"/>
        </w:numPr>
        <w:kinsoku/>
        <w:wordWrap w:val="0"/>
        <w:overflowPunct/>
        <w:topLinePunct w:val="0"/>
        <w:autoSpaceDE/>
        <w:autoSpaceDN/>
        <w:bidi w:val="0"/>
        <w:adjustRightInd w:val="0"/>
        <w:snapToGrid w:val="0"/>
        <w:spacing w:line="360" w:lineRule="exact"/>
        <w:ind w:left="0" w:leftChars="0" w:firstLine="420" w:firstLineChars="0"/>
        <w:textAlignment w:val="auto"/>
        <w:rPr>
          <w:rFonts w:asciiTheme="minorEastAsia" w:hAnsiTheme="minorEastAsia" w:eastAsiaTheme="minorEastAsia"/>
          <w:color w:val="auto"/>
          <w:szCs w:val="21"/>
          <w:highlight w:val="none"/>
        </w:rPr>
      </w:pPr>
      <w:r>
        <w:rPr>
          <w:rFonts w:hint="default" w:ascii="宋体" w:hAnsi="宋体" w:eastAsia="宋体" w:cs="宋体"/>
          <w:color w:val="auto"/>
          <w:kern w:val="2"/>
          <w:sz w:val="21"/>
          <w:szCs w:val="21"/>
          <w:highlight w:val="none"/>
          <w:lang w:val="en-US" w:eastAsia="zh-CN" w:bidi="ar-SA"/>
        </w:rPr>
        <w:t>4.2</w:t>
      </w:r>
      <w:r>
        <w:rPr>
          <w:rFonts w:hint="eastAsia" w:asciiTheme="minorEastAsia" w:hAnsiTheme="minorEastAsia" w:eastAsiaTheme="minorEastAsia"/>
          <w:color w:val="auto"/>
          <w:szCs w:val="21"/>
          <w:highlight w:val="none"/>
          <w:lang w:eastAsia="zh-CN"/>
        </w:rPr>
        <w:t>响应文件</w:t>
      </w:r>
      <w:r>
        <w:rPr>
          <w:rFonts w:hint="eastAsia" w:asciiTheme="minorEastAsia" w:hAnsiTheme="minorEastAsia" w:eastAsiaTheme="minorEastAsia"/>
          <w:color w:val="auto"/>
          <w:szCs w:val="21"/>
          <w:highlight w:val="none"/>
          <w:lang w:val="en-US" w:eastAsia="zh-CN"/>
        </w:rPr>
        <w:t>提交</w:t>
      </w:r>
      <w:r>
        <w:rPr>
          <w:rFonts w:hint="eastAsia" w:asciiTheme="minorEastAsia" w:hAnsiTheme="minorEastAsia" w:eastAsiaTheme="minorEastAsia"/>
          <w:color w:val="auto"/>
          <w:highlight w:val="none"/>
          <w:lang w:val="en-US" w:eastAsia="zh-CN"/>
        </w:rPr>
        <w:t>方式</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highlight w:val="none"/>
        </w:rPr>
        <w:t>【</w:t>
      </w:r>
      <w:r>
        <w:rPr>
          <w:rFonts w:hint="eastAsia" w:asciiTheme="minorEastAsia" w:hAnsiTheme="minorEastAsia" w:eastAsiaTheme="minorEastAsia"/>
          <w:highlight w:val="none"/>
        </w:rPr>
        <w:t>现场或邮寄方式递交纸质应答文件</w:t>
      </w:r>
      <w:r>
        <w:rPr>
          <w:rFonts w:hint="eastAsia" w:asciiTheme="minorEastAsia" w:hAnsiTheme="minorEastAsia" w:eastAsiaTheme="minorEastAsia"/>
          <w:color w:val="auto"/>
          <w:highlight w:val="none"/>
        </w:rPr>
        <w:t>】</w:t>
      </w:r>
    </w:p>
    <w:p w14:paraId="779962A1">
      <w:pPr>
        <w:pStyle w:val="53"/>
        <w:numPr>
          <w:ilvl w:val="1"/>
          <w:numId w:val="0"/>
        </w:numPr>
        <w:adjustRightInd w:val="0"/>
        <w:snapToGrid w:val="0"/>
        <w:spacing w:line="360" w:lineRule="exact"/>
        <w:ind w:left="0" w:leftChars="0" w:firstLine="420" w:firstLineChars="0"/>
        <w:rPr>
          <w:rFonts w:hint="eastAsia" w:asciiTheme="minorEastAsia" w:hAnsiTheme="minorEastAsia" w:eastAsiaTheme="minorEastAsia"/>
          <w:color w:val="auto"/>
          <w:szCs w:val="21"/>
          <w:highlight w:val="none"/>
        </w:rPr>
      </w:pPr>
      <w:r>
        <w:rPr>
          <w:rFonts w:hint="default" w:ascii="宋体" w:hAnsi="宋体" w:eastAsia="宋体" w:cs="宋体"/>
          <w:color w:val="auto"/>
          <w:kern w:val="2"/>
          <w:sz w:val="21"/>
          <w:szCs w:val="21"/>
          <w:highlight w:val="none"/>
          <w:lang w:val="en-US" w:eastAsia="zh-CN" w:bidi="ar-SA"/>
        </w:rPr>
        <w:t>4.3</w:t>
      </w:r>
      <w:r>
        <w:rPr>
          <w:rFonts w:hint="eastAsia" w:asciiTheme="minorEastAsia" w:hAnsiTheme="minorEastAsia" w:eastAsiaTheme="minorEastAsia"/>
          <w:color w:val="auto"/>
          <w:szCs w:val="21"/>
          <w:highlight w:val="none"/>
          <w:lang w:val="en-US" w:eastAsia="zh-CN"/>
        </w:rPr>
        <w:t>响应文件开启</w:t>
      </w:r>
      <w:r>
        <w:rPr>
          <w:rFonts w:hint="eastAsia" w:asciiTheme="minorEastAsia" w:hAnsiTheme="minorEastAsia" w:eastAsiaTheme="minorEastAsia"/>
          <w:color w:val="auto"/>
          <w:szCs w:val="21"/>
          <w:highlight w:val="none"/>
        </w:rPr>
        <w:t>时间和地点：</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X</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X</w:t>
      </w:r>
      <w:r>
        <w:rPr>
          <w:rFonts w:hint="eastAsia" w:asciiTheme="minorEastAsia" w:hAnsiTheme="minorEastAsia" w:eastAsiaTheme="minorEastAsia"/>
          <w:color w:val="FF0000"/>
          <w:szCs w:val="21"/>
          <w:highlight w:val="none"/>
        </w:rPr>
        <w:t>日</w:t>
      </w:r>
      <w:r>
        <w:rPr>
          <w:rFonts w:hint="eastAsia" w:ascii="宋体" w:hAnsi="宋体" w:eastAsiaTheme="minorEastAsia"/>
          <w:color w:val="FF0000"/>
          <w:szCs w:val="21"/>
          <w:highlight w:val="none"/>
          <w:lang w:val="en-US" w:eastAsia="zh-CN"/>
        </w:rPr>
        <w:t>14</w:t>
      </w:r>
      <w:r>
        <w:rPr>
          <w:rFonts w:hint="eastAsia" w:ascii="宋体" w:hAnsi="宋体"/>
          <w:color w:val="FF0000"/>
          <w:szCs w:val="21"/>
          <w:highlight w:val="none"/>
        </w:rPr>
        <w:t>时</w:t>
      </w:r>
      <w:r>
        <w:rPr>
          <w:rFonts w:hint="eastAsia" w:ascii="宋体" w:hAnsi="宋体"/>
          <w:color w:val="FF0000"/>
          <w:szCs w:val="21"/>
          <w:highlight w:val="none"/>
          <w:lang w:val="en-US" w:eastAsia="zh-CN"/>
        </w:rPr>
        <w:t>30</w:t>
      </w:r>
      <w:r>
        <w:rPr>
          <w:rFonts w:hint="eastAsia" w:ascii="宋体" w:hAnsi="宋体"/>
          <w:color w:val="FF0000"/>
          <w:szCs w:val="21"/>
          <w:highlight w:val="none"/>
        </w:rPr>
        <w:t>分</w:t>
      </w:r>
      <w:r>
        <w:rPr>
          <w:rFonts w:hint="eastAsia" w:ascii="宋体" w:hAnsi="宋体"/>
          <w:highlight w:val="none"/>
        </w:rPr>
        <w:t>，</w:t>
      </w:r>
      <w:r>
        <w:rPr>
          <w:rFonts w:hint="eastAsia" w:ascii="宋体" w:hAnsi="宋体"/>
          <w:color w:val="FF0000"/>
          <w:highlight w:val="none"/>
        </w:rPr>
        <w:t>福建省泉州市丰泽区宝洲街3</w:t>
      </w:r>
      <w:r>
        <w:rPr>
          <w:rFonts w:ascii="宋体" w:hAnsi="宋体"/>
          <w:color w:val="FF0000"/>
          <w:highlight w:val="none"/>
        </w:rPr>
        <w:t>99</w:t>
      </w:r>
      <w:r>
        <w:rPr>
          <w:rFonts w:hint="eastAsia" w:ascii="宋体" w:hAnsi="宋体"/>
          <w:color w:val="FF0000"/>
          <w:highlight w:val="none"/>
        </w:rPr>
        <w:t>号富翔上城2#楼2楼2</w:t>
      </w:r>
      <w:r>
        <w:rPr>
          <w:rFonts w:ascii="宋体" w:hAnsi="宋体"/>
          <w:color w:val="FF0000"/>
          <w:highlight w:val="none"/>
        </w:rPr>
        <w:t>07</w:t>
      </w:r>
      <w:r>
        <w:rPr>
          <w:rFonts w:hint="eastAsia" w:ascii="宋体" w:hAnsi="宋体"/>
          <w:color w:val="FF0000"/>
          <w:highlight w:val="none"/>
        </w:rPr>
        <w:t>室</w:t>
      </w:r>
      <w:r>
        <w:rPr>
          <w:rFonts w:hint="eastAsia" w:asciiTheme="minorEastAsia" w:hAnsiTheme="minorEastAsia" w:eastAsiaTheme="minorEastAsia"/>
          <w:color w:val="auto"/>
          <w:szCs w:val="21"/>
          <w:highlight w:val="none"/>
        </w:rPr>
        <w:t>。</w:t>
      </w:r>
    </w:p>
    <w:p w14:paraId="7D4B640B">
      <w:pPr>
        <w:pStyle w:val="53"/>
        <w:numPr>
          <w:ilvl w:val="1"/>
          <w:numId w:val="0"/>
        </w:numPr>
        <w:adjustRightInd w:val="0"/>
        <w:snapToGrid w:val="0"/>
        <w:spacing w:line="360" w:lineRule="exact"/>
        <w:ind w:left="0" w:leftChars="0" w:firstLine="420" w:firstLineChars="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唱价时间和地点：同上述时间和地点。</w:t>
      </w:r>
    </w:p>
    <w:p w14:paraId="36CE7598">
      <w:pPr>
        <w:pStyle w:val="53"/>
        <w:numPr>
          <w:ilvl w:val="1"/>
          <w:numId w:val="0"/>
        </w:numPr>
        <w:adjustRightInd w:val="0"/>
        <w:snapToGrid w:val="0"/>
        <w:spacing w:line="360" w:lineRule="exact"/>
        <w:ind w:left="0" w:leftChars="0" w:firstLine="420" w:firstLineChars="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出现以下情形时，不予接收应答文件：</w:t>
      </w:r>
    </w:p>
    <w:p w14:paraId="5E7ED068">
      <w:pPr>
        <w:pStyle w:val="53"/>
        <w:numPr>
          <w:ilvl w:val="1"/>
          <w:numId w:val="0"/>
        </w:numPr>
        <w:adjustRightInd w:val="0"/>
        <w:snapToGrid w:val="0"/>
        <w:spacing w:line="360" w:lineRule="exact"/>
        <w:ind w:left="0" w:leftChars="0" w:firstLine="420" w:firstLineChars="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.1逾期送达或者未送达指定地点的；</w:t>
      </w:r>
    </w:p>
    <w:p w14:paraId="084CD10E">
      <w:pPr>
        <w:pStyle w:val="53"/>
        <w:numPr>
          <w:ilvl w:val="1"/>
          <w:numId w:val="0"/>
        </w:numPr>
        <w:adjustRightInd w:val="0"/>
        <w:snapToGrid w:val="0"/>
        <w:spacing w:line="360" w:lineRule="exact"/>
        <w:ind w:left="0" w:leftChars="0" w:firstLine="420" w:firstLineChars="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.2未按照本公告要求获得本项目</w:t>
      </w:r>
      <w:r>
        <w:rPr>
          <w:rFonts w:hint="eastAsia" w:asciiTheme="minorEastAsia" w:hAnsiTheme="minorEastAsia" w:eastAsiaTheme="minorEastAsia"/>
          <w:color w:val="auto"/>
          <w:szCs w:val="21"/>
          <w:highlight w:val="none"/>
          <w:lang w:eastAsia="zh-CN"/>
        </w:rPr>
        <w:t>询比文件</w:t>
      </w:r>
      <w:r>
        <w:rPr>
          <w:rFonts w:hint="eastAsia" w:asciiTheme="minorEastAsia" w:hAnsiTheme="minorEastAsia" w:eastAsiaTheme="minorEastAsia"/>
          <w:color w:val="auto"/>
          <w:szCs w:val="21"/>
          <w:highlight w:val="none"/>
        </w:rPr>
        <w:t>的；</w:t>
      </w:r>
    </w:p>
    <w:p w14:paraId="03961E54">
      <w:pPr>
        <w:pStyle w:val="53"/>
        <w:numPr>
          <w:ilvl w:val="1"/>
          <w:numId w:val="0"/>
        </w:numPr>
        <w:adjustRightInd w:val="0"/>
        <w:snapToGrid w:val="0"/>
        <w:spacing w:line="360" w:lineRule="exact"/>
        <w:ind w:left="0" w:leftChars="0" w:firstLine="420" w:firstLineChars="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4.5.3</w:t>
      </w:r>
      <w:r>
        <w:rPr>
          <w:rFonts w:hint="eastAsia" w:asciiTheme="minorEastAsia" w:hAnsiTheme="minorEastAsia" w:eastAsiaTheme="minorEastAsia"/>
          <w:color w:val="auto"/>
          <w:szCs w:val="21"/>
          <w:highlight w:val="none"/>
          <w:lang w:eastAsia="zh-CN"/>
        </w:rPr>
        <w:t>询比文件</w:t>
      </w:r>
      <w:r>
        <w:rPr>
          <w:rFonts w:hint="eastAsia" w:asciiTheme="minorEastAsia" w:hAnsiTheme="minorEastAsia" w:eastAsiaTheme="minorEastAsia"/>
          <w:color w:val="auto"/>
          <w:szCs w:val="21"/>
          <w:highlight w:val="none"/>
        </w:rPr>
        <w:t>规定的其他情形</w:t>
      </w:r>
      <w:r>
        <w:rPr>
          <w:rFonts w:hint="eastAsia" w:asciiTheme="minorEastAsia" w:hAnsiTheme="minorEastAsia" w:eastAsiaTheme="minorEastAsia"/>
          <w:color w:val="auto"/>
          <w:szCs w:val="21"/>
          <w:highlight w:val="none"/>
          <w:lang w:eastAsia="zh-CN"/>
        </w:rPr>
        <w:t>。</w:t>
      </w:r>
    </w:p>
    <w:p w14:paraId="623F0957">
      <w:pPr>
        <w:pStyle w:val="5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val="en-US" w:eastAsia="zh-CN"/>
        </w:rPr>
        <w:t>5.</w:t>
      </w:r>
      <w:r>
        <w:rPr>
          <w:rFonts w:hint="eastAsia" w:asciiTheme="minorEastAsia" w:hAnsiTheme="minorEastAsia" w:eastAsiaTheme="minorEastAsia"/>
          <w:b/>
          <w:color w:val="auto"/>
          <w:szCs w:val="21"/>
          <w:highlight w:val="none"/>
          <w:lang w:eastAsia="zh-CN"/>
        </w:rPr>
        <w:t>供应商注册</w:t>
      </w:r>
    </w:p>
    <w:p w14:paraId="4B370EC4">
      <w:pPr>
        <w:pStyle w:val="53"/>
        <w:keepNext w:val="0"/>
        <w:keepLines w:val="0"/>
        <w:pageBreakBefore w:val="0"/>
        <w:widowControl w:val="0"/>
        <w:kinsoku/>
        <w:wordWrap w:val="0"/>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.1中国电信阳光采购</w:t>
      </w:r>
      <w:r>
        <w:rPr>
          <w:rFonts w:hint="eastAsia" w:ascii="宋体" w:hAnsi="宋体" w:cs="宋体"/>
          <w:color w:val="auto"/>
          <w:highlight w:val="none"/>
          <w:lang w:val="en-US" w:eastAsia="zh-CN"/>
        </w:rPr>
        <w:t>网</w:t>
      </w:r>
      <w:r>
        <w:rPr>
          <w:rFonts w:hint="eastAsia" w:ascii="宋体" w:hAnsi="宋体" w:eastAsia="宋体" w:cs="宋体"/>
          <w:color w:val="auto"/>
          <w:highlight w:val="none"/>
        </w:rPr>
        <w:t>注册</w:t>
      </w:r>
    </w:p>
    <w:p w14:paraId="5429E02D">
      <w:pPr>
        <w:keepNext w:val="0"/>
        <w:keepLines w:val="0"/>
        <w:pageBreakBefore w:val="0"/>
        <w:widowControl w:val="0"/>
        <w:kinsoku/>
        <w:wordWrap w:val="0"/>
        <w:overflowPunct/>
        <w:topLinePunct w:val="0"/>
        <w:autoSpaceDE/>
        <w:autoSpaceDN/>
        <w:bidi w:val="0"/>
        <w:adjustRightInd w:val="0"/>
        <w:snapToGrid w:val="0"/>
        <w:spacing w:line="360" w:lineRule="exact"/>
        <w:ind w:firstLine="417" w:firstLineChars="199"/>
        <w:textAlignment w:val="auto"/>
        <w:rPr>
          <w:rFonts w:hint="eastAsia" w:ascii="宋体" w:hAnsi="宋体" w:eastAsia="宋体" w:cs="宋体"/>
          <w:color w:val="auto"/>
          <w:highlight w:val="none"/>
        </w:rPr>
      </w:pPr>
      <w:r>
        <w:rPr>
          <w:rFonts w:hint="eastAsia" w:ascii="宋体" w:hAnsi="宋体" w:eastAsia="宋体" w:cs="宋体"/>
          <w:color w:val="auto"/>
          <w:highlight w:val="none"/>
        </w:rPr>
        <w:t>未注册过的潜在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，须通过</w:t>
      </w:r>
      <w:r>
        <w:rPr>
          <w:rFonts w:hint="eastAsia" w:asciiTheme="minorEastAsia" w:hAnsiTheme="minorEastAsia" w:eastAsiaTheme="minorEastAsia"/>
          <w:color w:val="auto"/>
          <w:spacing w:val="2"/>
          <w:szCs w:val="21"/>
          <w:highlight w:val="none"/>
        </w:rPr>
        <w:t>“中国电信阳光采购网（https://caigou.chinatelecom.com.cn）”</w:t>
      </w:r>
      <w:r>
        <w:rPr>
          <w:rFonts w:hint="eastAsia" w:ascii="宋体" w:hAnsi="宋体" w:eastAsia="宋体" w:cs="宋体"/>
          <w:color w:val="auto"/>
          <w:highlight w:val="none"/>
        </w:rPr>
        <w:t>首页“立即注册”模块完成注册。</w:t>
      </w:r>
    </w:p>
    <w:p w14:paraId="697B6FC0">
      <w:pPr>
        <w:pStyle w:val="5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val="en-US" w:eastAsia="zh-CN"/>
        </w:rPr>
        <w:t>6.</w:t>
      </w:r>
      <w:r>
        <w:rPr>
          <w:rFonts w:hint="eastAsia" w:asciiTheme="minorEastAsia" w:hAnsiTheme="minorEastAsia" w:eastAsiaTheme="minorEastAsia"/>
          <w:b/>
          <w:color w:val="auto"/>
          <w:szCs w:val="21"/>
          <w:highlight w:val="none"/>
          <w:lang w:eastAsia="zh-CN"/>
        </w:rPr>
        <w:t>发布公告的媒介</w:t>
      </w:r>
    </w:p>
    <w:p w14:paraId="77B40993">
      <w:pPr>
        <w:pStyle w:val="53"/>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lang w:eastAsia="zh-CN"/>
        </w:rPr>
        <w:t>询比</w:t>
      </w:r>
      <w:r>
        <w:rPr>
          <w:rFonts w:hint="eastAsia" w:asciiTheme="minorEastAsia" w:hAnsiTheme="minorEastAsia" w:eastAsiaTheme="minorEastAsia"/>
          <w:color w:val="auto"/>
          <w:szCs w:val="21"/>
          <w:highlight w:val="none"/>
        </w:rPr>
        <w:t>公告在</w:t>
      </w:r>
      <w:r>
        <w:rPr>
          <w:rFonts w:hint="eastAsia" w:asciiTheme="minorEastAsia" w:hAnsiTheme="minorEastAsia" w:eastAsiaTheme="minorEastAsia"/>
          <w:color w:val="auto"/>
          <w:highlight w:val="none"/>
        </w:rPr>
        <w:t>中国招标投标公共服务平台（http://www.cebpubservice.com/）</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szCs w:val="21"/>
          <w:highlight w:val="none"/>
          <w:lang w:val="en-US" w:eastAsia="zh-CN"/>
        </w:rPr>
        <w:t>链捷招（ https://zb.chinaccsscm.cn/）</w:t>
      </w:r>
      <w:r>
        <w:rPr>
          <w:rFonts w:hint="eastAsia" w:asciiTheme="minorEastAsia" w:hAnsiTheme="minorEastAsia" w:eastAsiaTheme="minorEastAsia"/>
          <w:color w:val="auto"/>
          <w:szCs w:val="21"/>
          <w:highlight w:val="none"/>
        </w:rPr>
        <w:t>上发布，其他媒介转载无效。</w:t>
      </w:r>
    </w:p>
    <w:p w14:paraId="1EF96897">
      <w:pPr>
        <w:pStyle w:val="5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val="en-US" w:eastAsia="zh-CN"/>
        </w:rPr>
        <w:t>7.</w:t>
      </w:r>
      <w:r>
        <w:rPr>
          <w:rFonts w:hint="eastAsia" w:asciiTheme="minorEastAsia" w:hAnsiTheme="minorEastAsia" w:eastAsiaTheme="minorEastAsia"/>
          <w:b/>
          <w:color w:val="auto"/>
          <w:szCs w:val="21"/>
          <w:highlight w:val="none"/>
          <w:lang w:eastAsia="zh-CN"/>
        </w:rPr>
        <w:t>联系及异议接收方式</w:t>
      </w:r>
    </w:p>
    <w:p w14:paraId="117098E5">
      <w:pPr>
        <w:pStyle w:val="53"/>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7.1联系方式</w:t>
      </w:r>
    </w:p>
    <w:p w14:paraId="50F0ADB8">
      <w:pPr>
        <w:spacing w:line="360" w:lineRule="auto"/>
        <w:rPr>
          <w:rFonts w:hint="eastAsia" w:ascii="宋体" w:hAnsi="宋体" w:eastAsia="宋体"/>
          <w:highlight w:val="none"/>
          <w:lang w:eastAsia="zh-CN"/>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000000" w:themeColor="text1"/>
          <w:highlight w:val="none"/>
          <w:lang w:eastAsia="zh-CN"/>
          <w14:textFill>
            <w14:solidFill>
              <w14:schemeClr w14:val="tx1"/>
            </w14:solidFill>
          </w14:textFill>
        </w:rPr>
        <w:t>中国电信集团工会晋江市委员会</w:t>
      </w:r>
    </w:p>
    <w:p w14:paraId="2025DB3F">
      <w:pPr>
        <w:pStyle w:val="53"/>
        <w:spacing w:line="400" w:lineRule="exact"/>
        <w:ind w:left="0" w:leftChars="0" w:firstLine="0" w:firstLineChars="0"/>
        <w:rPr>
          <w:rFonts w:hint="eastAsia" w:ascii="宋体" w:hAnsi="宋体" w:cs="宋体"/>
          <w:highlight w:val="none"/>
        </w:rPr>
      </w:pPr>
      <w:r>
        <w:rPr>
          <w:rFonts w:hint="eastAsia" w:ascii="宋体" w:hAnsi="宋体"/>
          <w:highlight w:val="none"/>
        </w:rPr>
        <w:t>地    址：</w:t>
      </w:r>
      <w:r>
        <w:rPr>
          <w:rFonts w:hint="eastAsia" w:ascii="宋体" w:hAnsi="宋体" w:cs="宋体"/>
          <w:color w:val="000000" w:themeColor="text1"/>
          <w:highlight w:val="none"/>
          <w14:textFill>
            <w14:solidFill>
              <w14:schemeClr w14:val="tx1"/>
            </w14:solidFill>
          </w14:textFill>
        </w:rPr>
        <w:t>【</w:t>
      </w:r>
      <w:r>
        <w:rPr>
          <w:rFonts w:hint="eastAsia" w:ascii="宋体" w:hAnsi="宋体"/>
        </w:rPr>
        <w:t>福建省晋江市世纪大道电信综合楼</w:t>
      </w:r>
      <w:r>
        <w:rPr>
          <w:rFonts w:hint="eastAsia" w:ascii="宋体" w:hAnsi="宋体" w:cs="宋体"/>
          <w:highlight w:val="none"/>
        </w:rPr>
        <w:t>】</w:t>
      </w:r>
    </w:p>
    <w:p w14:paraId="7E6B1A7C">
      <w:pPr>
        <w:spacing w:line="360" w:lineRule="auto"/>
        <w:rPr>
          <w:rFonts w:ascii="宋体" w:hAnsi="宋体"/>
          <w:highlight w:val="none"/>
        </w:rPr>
      </w:pPr>
      <w:r>
        <w:rPr>
          <w:rFonts w:hint="eastAsia" w:ascii="宋体" w:hAnsi="宋体" w:eastAsia="宋体" w:cs="宋体"/>
          <w:kern w:val="2"/>
          <w:sz w:val="21"/>
          <w:szCs w:val="24"/>
          <w:highlight w:val="none"/>
          <w:lang w:val="en-US" w:eastAsia="zh-CN" w:bidi="ar-SA"/>
        </w:rPr>
        <w:t>邮    编：【</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362000</w:t>
      </w:r>
      <w:r>
        <w:rPr>
          <w:rFonts w:hint="eastAsia" w:ascii="宋体" w:hAnsi="宋体" w:cs="宋体"/>
          <w:color w:val="000000" w:themeColor="text1"/>
          <w:highlight w:val="none"/>
          <w14:textFill>
            <w14:solidFill>
              <w14:schemeClr w14:val="tx1"/>
            </w14:solidFill>
          </w14:textFill>
        </w:rPr>
        <w:t>】</w:t>
      </w:r>
    </w:p>
    <w:p w14:paraId="404221AF">
      <w:pPr>
        <w:spacing w:line="360" w:lineRule="auto"/>
        <w:rPr>
          <w:rFonts w:ascii="宋体" w:hAnsi="宋体" w:eastAsia="宋体" w:cs="Times New Roman"/>
          <w:highlight w:val="none"/>
        </w:rPr>
      </w:pPr>
      <w:r>
        <w:rPr>
          <w:rFonts w:hint="eastAsia" w:ascii="宋体" w:hAnsi="宋体"/>
          <w:highlight w:val="none"/>
        </w:rPr>
        <w:t>联 系 人：</w:t>
      </w:r>
      <w:r>
        <w:rPr>
          <w:rFonts w:hint="eastAsia" w:ascii="宋体" w:hAnsi="宋体" w:cs="宋体"/>
          <w:color w:val="000000" w:themeColor="text1"/>
          <w:highlight w:val="none"/>
          <w14:textFill>
            <w14:solidFill>
              <w14:schemeClr w14:val="tx1"/>
            </w14:solidFill>
          </w14:textFill>
        </w:rPr>
        <w:t>【</w:t>
      </w:r>
      <w:r>
        <w:rPr>
          <w:rFonts w:hint="eastAsia" w:ascii="宋体" w:hAnsi="宋体"/>
        </w:rPr>
        <w:t>洪女士</w:t>
      </w:r>
      <w:r>
        <w:rPr>
          <w:rFonts w:hint="eastAsia" w:ascii="宋体" w:hAnsi="宋体" w:eastAsia="宋体" w:cs="宋体"/>
          <w:color w:val="000000" w:themeColor="text1"/>
          <w:highlight w:val="none"/>
          <w14:textFill>
            <w14:solidFill>
              <w14:schemeClr w14:val="tx1"/>
            </w14:solidFill>
          </w14:textFill>
        </w:rPr>
        <w:t>】</w:t>
      </w:r>
    </w:p>
    <w:p w14:paraId="32BFA4ED">
      <w:pPr>
        <w:spacing w:line="360" w:lineRule="auto"/>
        <w:rPr>
          <w:rFonts w:ascii="宋体" w:hAnsi="宋体"/>
          <w:highlight w:val="none"/>
          <w:u w:val="single"/>
        </w:rPr>
      </w:pPr>
      <w:r>
        <w:rPr>
          <w:rFonts w:hint="eastAsia" w:ascii="宋体" w:hAnsi="宋体" w:eastAsia="宋体" w:cs="Times New Roman"/>
          <w:highlight w:val="none"/>
        </w:rPr>
        <w:t>电    话：</w:t>
      </w:r>
      <w:r>
        <w:rPr>
          <w:rFonts w:hint="eastAsia" w:ascii="宋体" w:hAnsi="宋体" w:eastAsia="宋体" w:cs="宋体"/>
          <w:color w:val="000000" w:themeColor="text1"/>
          <w:highlight w:val="none"/>
          <w14:textFill>
            <w14:solidFill>
              <w14:schemeClr w14:val="tx1"/>
            </w14:solidFill>
          </w14:textFill>
        </w:rPr>
        <w:t>【</w:t>
      </w:r>
      <w:r>
        <w:rPr>
          <w:rFonts w:ascii="宋体" w:hAnsi="宋体"/>
        </w:rPr>
        <w:t>0595-85678009</w:t>
      </w:r>
      <w:r>
        <w:rPr>
          <w:rFonts w:hint="eastAsia" w:ascii="宋体" w:hAnsi="宋体" w:cs="宋体"/>
          <w:color w:val="000000" w:themeColor="text1"/>
          <w:highlight w:val="none"/>
          <w14:textFill>
            <w14:solidFill>
              <w14:schemeClr w14:val="tx1"/>
            </w14:solidFill>
          </w14:textFill>
        </w:rPr>
        <w:t>】</w:t>
      </w:r>
    </w:p>
    <w:p w14:paraId="125108A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47F4075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8F4DDC9">
      <w:pPr>
        <w:spacing w:line="360" w:lineRule="auto"/>
        <w:rPr>
          <w:rFonts w:ascii="宋体" w:hAnsi="宋体"/>
          <w:highlight w:val="none"/>
        </w:rPr>
      </w:pPr>
      <w:r>
        <w:rPr>
          <w:rFonts w:hint="eastAsia" w:ascii="宋体" w:hAnsi="宋体"/>
          <w:highlight w:val="none"/>
        </w:rPr>
        <w:t>邮    编：350007</w:t>
      </w:r>
    </w:p>
    <w:p w14:paraId="2AF57F24">
      <w:pPr>
        <w:spacing w:line="360" w:lineRule="auto"/>
        <w:rPr>
          <w:rFonts w:hint="eastAsia" w:ascii="宋体" w:hAnsi="宋体" w:eastAsia="宋体" w:cs="Times New Roman"/>
          <w:highlight w:val="none"/>
        </w:rPr>
      </w:pPr>
      <w:r>
        <w:rPr>
          <w:rFonts w:hint="eastAsia" w:ascii="宋体" w:hAnsi="宋体" w:eastAsia="宋体" w:cs="Times New Roman"/>
          <w:highlight w:val="none"/>
          <w:lang w:val="en-US" w:eastAsia="zh-CN"/>
        </w:rPr>
        <w:t>响应</w:t>
      </w:r>
      <w:r>
        <w:rPr>
          <w:rFonts w:hint="eastAsia" w:ascii="宋体" w:hAnsi="宋体" w:eastAsia="宋体" w:cs="Times New Roman"/>
          <w:highlight w:val="none"/>
        </w:rPr>
        <w:t>文件采取邮寄方式递交的，邮寄信息如下：</w:t>
      </w:r>
    </w:p>
    <w:p w14:paraId="2D961BB9">
      <w:pPr>
        <w:spacing w:line="360" w:lineRule="auto"/>
        <w:rPr>
          <w:rFonts w:hint="eastAsia" w:ascii="宋体" w:hAnsi="宋体" w:eastAsia="宋体" w:cs="Times New Roman"/>
          <w:highlight w:val="none"/>
        </w:rPr>
      </w:pPr>
      <w:r>
        <w:rPr>
          <w:rFonts w:hint="eastAsia" w:ascii="宋体" w:hAnsi="宋体" w:eastAsia="宋体" w:cs="Times New Roman"/>
          <w:highlight w:val="none"/>
        </w:rPr>
        <w:t>邮寄接收联系人：【</w:t>
      </w:r>
      <w:r>
        <w:rPr>
          <w:rFonts w:hint="eastAsia" w:ascii="宋体" w:hAnsi="宋体" w:eastAsia="宋体" w:cs="Times New Roman"/>
          <w:highlight w:val="none"/>
          <w:lang w:val="zh-CN"/>
        </w:rPr>
        <w:t>蒋恭楷</w:t>
      </w:r>
      <w:r>
        <w:rPr>
          <w:rFonts w:hint="eastAsia" w:ascii="宋体" w:hAnsi="宋体" w:eastAsia="宋体" w:cs="Times New Roman"/>
          <w:highlight w:val="none"/>
        </w:rPr>
        <w:t xml:space="preserve">】 </w:t>
      </w:r>
    </w:p>
    <w:p w14:paraId="2D88F005">
      <w:pPr>
        <w:spacing w:line="360" w:lineRule="auto"/>
        <w:rPr>
          <w:rFonts w:hint="eastAsia" w:ascii="宋体" w:hAnsi="宋体" w:eastAsia="宋体" w:cs="Times New Roman"/>
          <w:highlight w:val="none"/>
        </w:rPr>
      </w:pPr>
      <w:r>
        <w:rPr>
          <w:rFonts w:hint="eastAsia" w:ascii="宋体" w:hAnsi="宋体" w:eastAsia="宋体" w:cs="Times New Roman"/>
          <w:highlight w:val="none"/>
        </w:rPr>
        <w:t>电话：【</w:t>
      </w:r>
      <w:r>
        <w:rPr>
          <w:rFonts w:hint="eastAsia" w:ascii="宋体" w:hAnsi="宋体" w:eastAsia="宋体" w:cs="Times New Roman"/>
          <w:highlight w:val="none"/>
          <w:lang w:val="en-US" w:eastAsia="zh-CN"/>
        </w:rPr>
        <w:t>19905958001</w:t>
      </w:r>
      <w:r>
        <w:rPr>
          <w:rFonts w:hint="eastAsia" w:ascii="宋体" w:hAnsi="宋体" w:eastAsia="宋体" w:cs="Times New Roman"/>
          <w:highlight w:val="none"/>
        </w:rPr>
        <w:t xml:space="preserve">】  </w:t>
      </w:r>
    </w:p>
    <w:p w14:paraId="7674B0D3">
      <w:pPr>
        <w:spacing w:line="360" w:lineRule="auto"/>
        <w:rPr>
          <w:rFonts w:hint="eastAsia" w:ascii="宋体" w:hAnsi="宋体" w:eastAsia="宋体" w:cs="Times New Roman"/>
          <w:highlight w:val="none"/>
        </w:rPr>
      </w:pPr>
      <w:r>
        <w:rPr>
          <w:rFonts w:hint="eastAsia" w:ascii="宋体" w:hAnsi="宋体" w:eastAsia="宋体" w:cs="Times New Roman"/>
          <w:highlight w:val="none"/>
        </w:rPr>
        <w:t>邮寄地址：【见</w:t>
      </w:r>
      <w:r>
        <w:rPr>
          <w:rFonts w:hint="eastAsia" w:ascii="宋体" w:hAnsi="宋体" w:eastAsia="宋体" w:cs="Times New Roman"/>
          <w:highlight w:val="none"/>
          <w:lang w:val="en-US" w:eastAsia="zh-CN"/>
        </w:rPr>
        <w:t>询比</w:t>
      </w:r>
      <w:r>
        <w:rPr>
          <w:rFonts w:hint="eastAsia" w:ascii="宋体" w:hAnsi="宋体" w:eastAsia="宋体" w:cs="Times New Roman"/>
          <w:highlight w:val="none"/>
        </w:rPr>
        <w:t>文件递交截止地点】</w:t>
      </w:r>
    </w:p>
    <w:p w14:paraId="16A6CC64">
      <w:pPr>
        <w:spacing w:line="360" w:lineRule="auto"/>
        <w:rPr>
          <w:rFonts w:hint="eastAsia" w:ascii="宋体" w:hAnsi="宋体" w:eastAsia="宋体" w:cs="Times New Roman"/>
          <w:highlight w:val="none"/>
          <w:lang w:val="zh-CN"/>
        </w:rPr>
      </w:pPr>
      <w:r>
        <w:rPr>
          <w:rFonts w:hint="eastAsia" w:ascii="宋体" w:hAnsi="宋体" w:eastAsia="宋体" w:cs="Times New Roman"/>
          <w:highlight w:val="none"/>
          <w:lang w:val="zh-CN"/>
        </w:rPr>
        <w:t>项目负责人</w:t>
      </w:r>
      <w:r>
        <w:rPr>
          <w:rFonts w:hint="eastAsia" w:ascii="宋体" w:hAnsi="宋体" w:eastAsia="宋体" w:cs="Times New Roman"/>
          <w:highlight w:val="none"/>
        </w:rPr>
        <w:t>1</w:t>
      </w:r>
      <w:r>
        <w:rPr>
          <w:rFonts w:hint="eastAsia" w:ascii="宋体" w:hAnsi="宋体" w:eastAsia="宋体" w:cs="Times New Roman"/>
          <w:highlight w:val="none"/>
          <w:lang w:val="zh-CN"/>
        </w:rPr>
        <w:t>: 蒋恭楷 电话：</w:t>
      </w:r>
      <w:r>
        <w:rPr>
          <w:rFonts w:hint="eastAsia" w:ascii="宋体" w:hAnsi="宋体" w:eastAsia="宋体" w:cs="Times New Roman"/>
          <w:highlight w:val="none"/>
          <w:lang w:val="en-US" w:eastAsia="zh-CN"/>
        </w:rPr>
        <w:t>19905958001</w:t>
      </w:r>
      <w:r>
        <w:rPr>
          <w:rFonts w:hint="eastAsia" w:ascii="宋体" w:hAnsi="宋体" w:eastAsia="宋体" w:cs="Times New Roman"/>
          <w:highlight w:val="none"/>
          <w:lang w:val="zh-CN"/>
        </w:rPr>
        <w:t xml:space="preserve"> 电子邮件：</w:t>
      </w:r>
      <w:r>
        <w:rPr>
          <w:rFonts w:hint="eastAsia" w:ascii="宋体" w:hAnsi="宋体" w:eastAsia="宋体" w:cs="Times New Roman"/>
          <w:highlight w:val="none"/>
        </w:rPr>
        <w:t>jianggongkai</w:t>
      </w:r>
      <w:r>
        <w:rPr>
          <w:rFonts w:hint="eastAsia" w:ascii="宋体" w:hAnsi="宋体" w:eastAsia="宋体" w:cs="Times New Roman"/>
          <w:highlight w:val="none"/>
          <w:lang w:val="zh-CN"/>
        </w:rPr>
        <w:t>@chinaccs.cn</w:t>
      </w:r>
    </w:p>
    <w:p w14:paraId="47D0D6D7">
      <w:pPr>
        <w:spacing w:line="360" w:lineRule="auto"/>
        <w:rPr>
          <w:rFonts w:hint="eastAsia" w:ascii="宋体" w:hAnsi="宋体" w:eastAsia="宋体" w:cs="Times New Roman"/>
          <w:highlight w:val="none"/>
          <w:lang w:val="zh-CN"/>
        </w:rPr>
      </w:pPr>
      <w:r>
        <w:rPr>
          <w:rFonts w:hint="eastAsia" w:ascii="宋体" w:hAnsi="宋体" w:eastAsia="宋体" w:cs="Times New Roman"/>
          <w:highlight w:val="none"/>
          <w:lang w:val="zh-CN"/>
        </w:rPr>
        <w:t>项目负责人</w:t>
      </w:r>
      <w:r>
        <w:rPr>
          <w:rFonts w:hint="eastAsia" w:ascii="宋体" w:hAnsi="宋体" w:eastAsia="宋体" w:cs="Times New Roman"/>
          <w:highlight w:val="none"/>
        </w:rPr>
        <w:t>2</w:t>
      </w:r>
      <w:r>
        <w:rPr>
          <w:rFonts w:hint="eastAsia" w:ascii="宋体" w:hAnsi="宋体" w:eastAsia="宋体" w:cs="Times New Roman"/>
          <w:highlight w:val="none"/>
          <w:lang w:val="zh-CN"/>
        </w:rPr>
        <w:t>：</w:t>
      </w:r>
      <w:r>
        <w:rPr>
          <w:rFonts w:hint="eastAsia" w:ascii="宋体" w:hAnsi="宋体" w:eastAsia="宋体" w:cs="Times New Roman"/>
          <w:highlight w:val="none"/>
          <w:lang w:val="en-US" w:eastAsia="zh-CN"/>
        </w:rPr>
        <w:t>庄灿扬</w:t>
      </w:r>
      <w:r>
        <w:rPr>
          <w:rFonts w:hint="eastAsia" w:ascii="宋体" w:hAnsi="宋体" w:eastAsia="宋体" w:cs="Times New Roman"/>
          <w:highlight w:val="none"/>
          <w:lang w:val="zh-CN"/>
        </w:rPr>
        <w:t xml:space="preserve"> 电话：</w:t>
      </w:r>
      <w:r>
        <w:rPr>
          <w:rFonts w:hint="eastAsia" w:ascii="宋体" w:hAnsi="宋体" w:eastAsia="宋体" w:cs="Times New Roman"/>
          <w:highlight w:val="none"/>
          <w:lang w:val="en-US" w:eastAsia="zh-CN"/>
        </w:rPr>
        <w:t>15392275666</w:t>
      </w:r>
      <w:r>
        <w:rPr>
          <w:rFonts w:hint="eastAsia" w:ascii="宋体" w:hAnsi="宋体" w:eastAsia="宋体" w:cs="Times New Roman"/>
          <w:highlight w:val="none"/>
          <w:lang w:val="zh-CN"/>
        </w:rPr>
        <w:t xml:space="preserve"> </w:t>
      </w:r>
    </w:p>
    <w:p w14:paraId="534665BD">
      <w:pPr>
        <w:spacing w:line="360" w:lineRule="auto"/>
        <w:rPr>
          <w:rFonts w:hint="eastAsia" w:ascii="宋体" w:hAnsi="宋体" w:eastAsia="宋体" w:cs="Times New Roman"/>
          <w:highlight w:val="none"/>
        </w:rPr>
      </w:pPr>
      <w:r>
        <w:rPr>
          <w:rFonts w:hint="eastAsia" w:ascii="宋体" w:hAnsi="宋体" w:eastAsia="宋体" w:cs="Times New Roman"/>
          <w:highlight w:val="none"/>
          <w:lang w:val="en-US" w:eastAsia="zh-CN"/>
        </w:rPr>
        <w:t>异议接收邮箱：【jianggongkai@chinaccs.cn】</w:t>
      </w:r>
    </w:p>
    <w:p w14:paraId="54AA9492">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lang w:val="en-US" w:eastAsia="zh-CN"/>
        </w:rPr>
        <w:t>8</w:t>
      </w:r>
      <w:r>
        <w:rPr>
          <w:rFonts w:hint="eastAsia" w:ascii="宋体" w:hAnsi="宋体"/>
          <w:b/>
          <w:szCs w:val="21"/>
          <w:highlight w:val="none"/>
        </w:rPr>
        <w:t>.纸质保函、保险递交地点（如有）</w:t>
      </w:r>
    </w:p>
    <w:p w14:paraId="15261CDA">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546F4C44">
      <w:pPr>
        <w:pStyle w:val="87"/>
        <w:wordWrap w:val="0"/>
        <w:spacing w:line="360" w:lineRule="auto"/>
        <w:ind w:firstLine="0" w:firstLineChars="0"/>
        <w:rPr>
          <w:rFonts w:asciiTheme="minorEastAsia" w:hAnsiTheme="minorEastAsia" w:eastAsiaTheme="minorEastAsia"/>
          <w:highlight w:val="none"/>
        </w:rPr>
      </w:pPr>
    </w:p>
    <w:p w14:paraId="7E73042A">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7546AF23">
      <w:pPr>
        <w:pStyle w:val="53"/>
        <w:spacing w:line="400" w:lineRule="exact"/>
        <w:ind w:left="4620" w:leftChars="2200" w:firstLine="665" w:firstLineChars="317"/>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09</w:t>
      </w:r>
      <w:r>
        <w:rPr>
          <w:rFonts w:hint="eastAsia" w:ascii="宋体" w:hAnsi="宋体"/>
          <w:color w:val="FF0000"/>
          <w:szCs w:val="21"/>
          <w:highlight w:val="none"/>
        </w:rPr>
        <w:t>月</w:t>
      </w:r>
      <w:r>
        <w:rPr>
          <w:rFonts w:hint="eastAsia" w:ascii="宋体" w:hAnsi="宋体"/>
          <w:color w:val="FF0000"/>
          <w:szCs w:val="21"/>
          <w:highlight w:val="none"/>
          <w:lang w:val="en-US" w:eastAsia="zh-CN"/>
        </w:rPr>
        <w:t>18</w:t>
      </w:r>
      <w:r>
        <w:rPr>
          <w:rFonts w:hint="eastAsia" w:ascii="宋体" w:hAnsi="宋体"/>
          <w:color w:val="FF0000"/>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82E0E4D"/>
    <w:rsid w:val="2A663C58"/>
    <w:rsid w:val="2B2240C9"/>
    <w:rsid w:val="2DD96EB3"/>
    <w:rsid w:val="314D32EE"/>
    <w:rsid w:val="31EF391B"/>
    <w:rsid w:val="37BB6ADF"/>
    <w:rsid w:val="388F32DB"/>
    <w:rsid w:val="3A986C32"/>
    <w:rsid w:val="41D56D7E"/>
    <w:rsid w:val="469B6C08"/>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C316D47"/>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2790</Words>
  <Characters>3276</Characters>
  <Lines>82</Lines>
  <Paragraphs>92</Paragraphs>
  <TotalTime>0</TotalTime>
  <ScaleCrop>false</ScaleCrop>
  <LinksUpToDate>false</LinksUpToDate>
  <CharactersWithSpaces>3339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2025-09-18T09:21:02Z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