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B7E37">
      <w:pPr>
        <w:keepNext/>
        <w:keepLines/>
        <w:spacing w:before="240" w:after="120"/>
        <w:jc w:val="center"/>
        <w:outlineLvl w:val="0"/>
        <w:rPr>
          <w:rFonts w:hint="eastAsia" w:ascii="宋体" w:hAnsi="宋体" w:eastAsia="宋体" w:cs="宋体"/>
          <w:b/>
          <w:kern w:val="0"/>
          <w:szCs w:val="21"/>
          <w:lang w:eastAsia="zh-CN"/>
        </w:rPr>
      </w:pPr>
      <w:r>
        <w:rPr>
          <w:rFonts w:hint="eastAsia" w:ascii="宋体" w:hAnsi="宋体" w:eastAsia="宋体" w:cs="宋体"/>
          <w:b/>
          <w:kern w:val="0"/>
          <w:szCs w:val="21"/>
          <w:lang w:eastAsia="zh-CN"/>
        </w:rPr>
        <w:t>2025年福建省邮电物业管理有限公司泉州分公司县分食堂食材集中采购项目（第二次）</w:t>
      </w:r>
    </w:p>
    <w:p w14:paraId="303DE77B">
      <w:pPr>
        <w:keepNext/>
        <w:keepLines/>
        <w:spacing w:before="240" w:after="120"/>
        <w:jc w:val="center"/>
        <w:outlineLvl w:val="0"/>
        <w:rPr>
          <w:rFonts w:hint="eastAsia" w:ascii="宋体" w:hAnsi="宋体" w:eastAsia="宋体" w:cs="宋体"/>
          <w:b/>
          <w:kern w:val="0"/>
          <w:szCs w:val="21"/>
        </w:rPr>
      </w:pPr>
      <w:r>
        <w:rPr>
          <w:rFonts w:hint="eastAsia" w:ascii="宋体" w:hAnsi="宋体" w:eastAsia="宋体" w:cs="宋体"/>
          <w:b/>
          <w:kern w:val="0"/>
          <w:szCs w:val="21"/>
        </w:rPr>
        <w:t>招标公告</w:t>
      </w:r>
    </w:p>
    <w:p w14:paraId="40AE9A5A">
      <w:pPr>
        <w:adjustRightInd w:val="0"/>
        <w:snapToGrid w:val="0"/>
        <w:spacing w:line="360" w:lineRule="auto"/>
        <w:ind w:firstLine="420" w:firstLineChars="200"/>
        <w:rPr>
          <w:rFonts w:ascii="宋体" w:hAnsi="宋体"/>
          <w:szCs w:val="21"/>
        </w:rPr>
      </w:pPr>
      <w:r>
        <w:rPr>
          <w:rFonts w:hint="eastAsia" w:ascii="宋体" w:hAnsi="宋体"/>
          <w:szCs w:val="21"/>
        </w:rPr>
        <w:t>本招标项目为</w:t>
      </w:r>
      <w:r>
        <w:rPr>
          <w:rFonts w:hint="eastAsia" w:ascii="宋体" w:hAnsi="宋体"/>
          <w:lang w:eastAsia="zh-CN"/>
        </w:rPr>
        <w:t>2025年福建省邮电物业管理有限公司泉州分公司县分食堂食材集中采购项目（第二次）</w:t>
      </w:r>
      <w:r>
        <w:rPr>
          <w:rFonts w:hint="eastAsia" w:ascii="宋体" w:hAnsi="宋体"/>
          <w:szCs w:val="21"/>
        </w:rPr>
        <w:t>，（招标编号：</w:t>
      </w:r>
      <w:r>
        <w:rPr>
          <w:rFonts w:hint="eastAsia" w:ascii="宋体" w:hAnsi="宋体" w:cs="宋体"/>
          <w:color w:val="000000" w:themeColor="text1"/>
          <w:lang w:eastAsia="zh-CN"/>
          <w14:textFill>
            <w14:solidFill>
              <w14:schemeClr w14:val="tx1"/>
            </w14:solidFill>
          </w14:textFill>
        </w:rPr>
        <w:t>FJZT-2025-11781</w:t>
      </w:r>
      <w:r>
        <w:rPr>
          <w:rFonts w:hint="eastAsia" w:ascii="宋体" w:hAnsi="宋体"/>
          <w:szCs w:val="21"/>
        </w:rPr>
        <w:t>），招标人为</w:t>
      </w:r>
      <w:r>
        <w:rPr>
          <w:rFonts w:hint="eastAsia" w:ascii="宋体" w:hAnsi="宋体" w:cs="宋体"/>
          <w:color w:val="000000" w:themeColor="text1"/>
          <w:szCs w:val="21"/>
          <w14:textFill>
            <w14:solidFill>
              <w14:schemeClr w14:val="tx1"/>
            </w14:solidFill>
          </w14:textFill>
        </w:rPr>
        <w:t>福建省邮电物业管理有限公司泉州分公司</w:t>
      </w:r>
      <w:r>
        <w:rPr>
          <w:rFonts w:hint="eastAsia" w:ascii="宋体" w:hAnsi="宋体"/>
          <w:szCs w:val="21"/>
        </w:rPr>
        <w:t>，招标代理机构为</w:t>
      </w:r>
      <w:r>
        <w:rPr>
          <w:rFonts w:hint="eastAsia" w:ascii="宋体" w:hAnsi="宋体" w:cs="宋体"/>
          <w:color w:val="000000" w:themeColor="text1"/>
          <w:szCs w:val="21"/>
          <w14:textFill>
            <w14:solidFill>
              <w14:schemeClr w14:val="tx1"/>
            </w14:solidFill>
          </w14:textFill>
        </w:rPr>
        <w:t>福建省中通通信有限公司</w:t>
      </w:r>
      <w:r>
        <w:rPr>
          <w:rFonts w:hint="eastAsia" w:ascii="宋体" w:hAnsi="宋体"/>
          <w:szCs w:val="21"/>
        </w:rPr>
        <w:t>。项目资金由招标人自筹，资金已落实。项目已具备招标条件，现进行公开招标，特邀请有意向的且具有提供标的物能力的潜在投标人（以下简称投标人）参加投标。</w:t>
      </w:r>
    </w:p>
    <w:p w14:paraId="5B1180C1">
      <w:pPr>
        <w:keepNext/>
        <w:keepLines/>
        <w:spacing w:before="260" w:after="260" w:line="360" w:lineRule="auto"/>
        <w:outlineLvl w:val="0"/>
        <w:rPr>
          <w:rFonts w:ascii="宋体" w:hAnsi="宋体" w:cs="宋体"/>
          <w:b/>
          <w:bCs/>
          <w:szCs w:val="21"/>
        </w:rPr>
      </w:pPr>
      <w:bookmarkStart w:id="0" w:name="_Toc21505"/>
      <w:r>
        <w:rPr>
          <w:rFonts w:hint="eastAsia" w:ascii="宋体" w:hAnsi="宋体"/>
          <w:b/>
          <w:szCs w:val="21"/>
        </w:rPr>
        <w:t>1.</w:t>
      </w:r>
      <w:r>
        <w:rPr>
          <w:rFonts w:hint="eastAsia" w:ascii="宋体" w:hAnsi="宋体" w:cs="宋体"/>
          <w:b/>
          <w:bCs/>
          <w:szCs w:val="21"/>
        </w:rPr>
        <w:t>招标范围</w:t>
      </w:r>
      <w:r>
        <w:rPr>
          <w:rFonts w:hint="eastAsia" w:ascii="宋体" w:hAnsi="宋体" w:cs="宋体"/>
          <w:b/>
          <w:bCs/>
          <w:szCs w:val="21"/>
          <w:highlight w:val="yellow"/>
        </w:rPr>
        <w:t>（集中）</w:t>
      </w:r>
      <w:bookmarkEnd w:id="0"/>
    </w:p>
    <w:p w14:paraId="3EA0E15E">
      <w:pPr>
        <w:adjustRightInd w:val="0"/>
        <w:snapToGrid w:val="0"/>
        <w:spacing w:line="360" w:lineRule="auto"/>
        <w:ind w:firstLine="420" w:firstLineChars="200"/>
        <w:rPr>
          <w:rFonts w:ascii="宋体" w:hAnsi="宋体" w:cs="宋体"/>
          <w:szCs w:val="21"/>
        </w:rPr>
      </w:pPr>
      <w:r>
        <w:rPr>
          <w:rFonts w:hint="eastAsia" w:ascii="宋体" w:hAnsi="宋体" w:cs="宋体"/>
          <w:szCs w:val="21"/>
        </w:rPr>
        <w:t>1.1招标</w:t>
      </w:r>
      <w:r>
        <w:rPr>
          <w:rFonts w:hint="eastAsia" w:ascii="宋体" w:hAnsi="宋体"/>
          <w:szCs w:val="21"/>
        </w:rPr>
        <w:t>内容</w:t>
      </w:r>
      <w:r>
        <w:rPr>
          <w:rFonts w:hint="eastAsia" w:ascii="宋体" w:hAnsi="宋体" w:cs="宋体"/>
          <w:szCs w:val="21"/>
        </w:rPr>
        <w:t>：本项目为集中招标项目，为保证招标人食堂经营需要需为招标人提供的禽、肉，水产海鲜，蔬菜，食杂调味品等食堂所需食品，并按照招标人要求时间送至相应地点，本项目为包干项目，投标人投标总报价应为经招标人验收合格并交付使用所有可能发生的费用，包含货款，运输费、保险费、税费、验收费、包装费、更换费用、售后服务及采购单位要求的不定期抽样送检费等一切费用。</w:t>
      </w:r>
    </w:p>
    <w:p w14:paraId="1E9232B5">
      <w:pPr>
        <w:adjustRightInd w:val="0"/>
        <w:snapToGrid w:val="0"/>
        <w:spacing w:line="360" w:lineRule="auto"/>
        <w:ind w:firstLine="420" w:firstLineChars="200"/>
        <w:rPr>
          <w:rFonts w:ascii="宋体" w:hAnsi="宋体" w:cs="宋体"/>
          <w:szCs w:val="21"/>
        </w:rPr>
      </w:pPr>
      <w:r>
        <w:rPr>
          <w:rFonts w:hint="eastAsia" w:ascii="宋体" w:hAnsi="宋体"/>
          <w:szCs w:val="21"/>
        </w:rPr>
        <w:t>本次</w:t>
      </w:r>
      <w:r>
        <w:rPr>
          <w:rFonts w:hint="eastAsia" w:ascii="宋体" w:hAnsi="宋体" w:cs="宋体"/>
          <w:szCs w:val="21"/>
        </w:rPr>
        <w:t>集中招标合同有效期为：合同生效之日起</w:t>
      </w:r>
      <w:r>
        <w:rPr>
          <w:rFonts w:hint="eastAsia" w:ascii="宋体" w:hAnsi="宋体" w:cs="宋体"/>
          <w:szCs w:val="21"/>
          <w:highlight w:val="yellow"/>
        </w:rPr>
        <w:t>【2】</w:t>
      </w:r>
      <w:r>
        <w:rPr>
          <w:rFonts w:hint="eastAsia" w:ascii="宋体" w:hAnsi="宋体" w:cs="宋体"/>
          <w:szCs w:val="21"/>
        </w:rPr>
        <w:t>年。</w:t>
      </w:r>
    </w:p>
    <w:p w14:paraId="05B83623">
      <w:pPr>
        <w:adjustRightInd w:val="0"/>
        <w:snapToGrid w:val="0"/>
        <w:spacing w:line="360" w:lineRule="auto"/>
        <w:ind w:firstLine="420" w:firstLineChars="200"/>
        <w:rPr>
          <w:rFonts w:ascii="宋体" w:hAnsi="宋体" w:cs="宋体"/>
          <w:szCs w:val="21"/>
        </w:rPr>
      </w:pPr>
      <w:r>
        <w:rPr>
          <w:rFonts w:hint="eastAsia" w:ascii="宋体" w:hAnsi="宋体" w:cs="宋体"/>
          <w:szCs w:val="21"/>
        </w:rPr>
        <w:t>本次招标</w:t>
      </w:r>
      <w:r>
        <w:rPr>
          <w:rFonts w:hint="eastAsia" w:ascii="宋体" w:hAnsi="宋体"/>
          <w:szCs w:val="21"/>
        </w:rPr>
        <w:t>内容</w:t>
      </w:r>
      <w:r>
        <w:rPr>
          <w:rFonts w:hint="eastAsia" w:ascii="宋体" w:hAnsi="宋体" w:cs="宋体"/>
          <w:szCs w:val="21"/>
        </w:rPr>
        <w:t>如下：</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6576"/>
      </w:tblGrid>
      <w:tr w14:paraId="3A6E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41" w:type="pct"/>
            <w:shd w:val="clear" w:color="auto" w:fill="auto"/>
            <w:noWrap/>
            <w:vAlign w:val="center"/>
          </w:tcPr>
          <w:p w14:paraId="79A9A8B9">
            <w:pPr>
              <w:widowControl/>
              <w:jc w:val="center"/>
              <w:textAlignment w:val="center"/>
              <w:rPr>
                <w:rFonts w:ascii="宋体" w:hAnsi="宋体" w:cs="宋体"/>
                <w:color w:val="000000"/>
                <w:sz w:val="24"/>
              </w:rPr>
            </w:pPr>
            <w:r>
              <w:rPr>
                <w:rFonts w:hint="eastAsia" w:ascii="宋体" w:hAnsi="宋体" w:cs="宋体"/>
                <w:color w:val="000000"/>
                <w:kern w:val="0"/>
                <w:sz w:val="24"/>
              </w:rPr>
              <w:t>类别</w:t>
            </w:r>
          </w:p>
        </w:tc>
        <w:tc>
          <w:tcPr>
            <w:tcW w:w="3858" w:type="pct"/>
            <w:shd w:val="clear" w:color="auto" w:fill="auto"/>
            <w:vAlign w:val="center"/>
          </w:tcPr>
          <w:p w14:paraId="7092B707">
            <w:pPr>
              <w:widowControl/>
              <w:jc w:val="center"/>
              <w:textAlignment w:val="center"/>
              <w:rPr>
                <w:rFonts w:ascii="宋体" w:hAnsi="宋体" w:cs="宋体"/>
                <w:color w:val="000000"/>
                <w:sz w:val="24"/>
              </w:rPr>
            </w:pPr>
            <w:r>
              <w:rPr>
                <w:rFonts w:hint="eastAsia" w:ascii="宋体" w:hAnsi="宋体" w:cs="宋体"/>
                <w:color w:val="000000"/>
                <w:kern w:val="0"/>
                <w:sz w:val="24"/>
              </w:rPr>
              <w:t>所需材料</w:t>
            </w:r>
          </w:p>
        </w:tc>
      </w:tr>
      <w:tr w14:paraId="0E84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141" w:type="pct"/>
            <w:vMerge w:val="restart"/>
            <w:shd w:val="clear" w:color="auto" w:fill="auto"/>
            <w:noWrap/>
            <w:vAlign w:val="center"/>
          </w:tcPr>
          <w:p w14:paraId="49B5D8F5">
            <w:pPr>
              <w:widowControl/>
              <w:jc w:val="center"/>
              <w:textAlignment w:val="center"/>
              <w:rPr>
                <w:rFonts w:ascii="宋体" w:hAnsi="宋体" w:cs="宋体"/>
                <w:color w:val="000000"/>
                <w:sz w:val="24"/>
              </w:rPr>
            </w:pPr>
            <w:r>
              <w:rPr>
                <w:rFonts w:hint="eastAsia" w:ascii="宋体" w:hAnsi="宋体" w:cs="宋体"/>
                <w:color w:val="000000"/>
                <w:kern w:val="0"/>
                <w:sz w:val="24"/>
              </w:rPr>
              <w:t>蔬菜农畜产品</w:t>
            </w:r>
          </w:p>
        </w:tc>
        <w:tc>
          <w:tcPr>
            <w:tcW w:w="3858" w:type="pct"/>
            <w:shd w:val="clear" w:color="auto" w:fill="auto"/>
            <w:vAlign w:val="center"/>
          </w:tcPr>
          <w:p w14:paraId="213FEB3D">
            <w:pPr>
              <w:widowControl/>
              <w:jc w:val="left"/>
              <w:textAlignment w:val="center"/>
              <w:rPr>
                <w:rFonts w:ascii="宋体" w:hAnsi="宋体" w:cs="宋体"/>
                <w:color w:val="000000"/>
                <w:sz w:val="24"/>
              </w:rPr>
            </w:pPr>
            <w:r>
              <w:rPr>
                <w:rFonts w:hint="eastAsia" w:ascii="宋体" w:hAnsi="宋体" w:cs="宋体"/>
                <w:color w:val="000000"/>
                <w:kern w:val="0"/>
                <w:sz w:val="24"/>
              </w:rPr>
              <w:t>空心菜，小白菜，芥菜，菠菜，生菜，油麦菜，大白菜，豆芽，老南瓜，苦瓜，青瓜，黄瓜，佛手瓜，长豆，四季豆，毛豆荷兰豆，韭菜，韭黄，洋葱，牛心包菜，白萝卜，胡萝卜，青葱，大蒜，西红柿，马铃薯，冬瓜，茄子，莴笋，莲藕，姜，芋头，蒜薹，秋葵，西兰花，花菜，黑木耳，青椒，红泡椒，丝瓜，香菇，杏鲍菇，草菇，蘑菇，金针菇，海鲜菇，秀珍菇，西芹，香菜，海带丝，榨菜，酱瓜，豆豉，菜脯，豆角，水发笋干，豆腐，豆干，干葱头，豆腐泡等蔬菜。</w:t>
            </w:r>
          </w:p>
        </w:tc>
      </w:tr>
      <w:tr w14:paraId="4456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41" w:type="pct"/>
            <w:vMerge w:val="continue"/>
            <w:shd w:val="clear" w:color="auto" w:fill="auto"/>
            <w:noWrap/>
            <w:vAlign w:val="center"/>
          </w:tcPr>
          <w:p w14:paraId="25810A7E">
            <w:pPr>
              <w:jc w:val="center"/>
              <w:rPr>
                <w:rFonts w:ascii="宋体" w:hAnsi="宋体" w:cs="宋体"/>
                <w:color w:val="000000"/>
                <w:sz w:val="24"/>
              </w:rPr>
            </w:pPr>
          </w:p>
        </w:tc>
        <w:tc>
          <w:tcPr>
            <w:tcW w:w="3858" w:type="pct"/>
            <w:shd w:val="clear" w:color="auto" w:fill="auto"/>
            <w:vAlign w:val="center"/>
          </w:tcPr>
          <w:p w14:paraId="1154E43A">
            <w:pPr>
              <w:widowControl/>
              <w:jc w:val="left"/>
              <w:textAlignment w:val="center"/>
              <w:rPr>
                <w:rFonts w:ascii="宋体" w:hAnsi="宋体" w:cs="宋体"/>
                <w:color w:val="000000"/>
                <w:sz w:val="24"/>
              </w:rPr>
            </w:pPr>
            <w:r>
              <w:rPr>
                <w:rFonts w:hint="eastAsia" w:ascii="宋体" w:hAnsi="宋体" w:cs="宋体"/>
                <w:color w:val="000000"/>
                <w:kern w:val="0"/>
                <w:sz w:val="24"/>
              </w:rPr>
              <w:t>猪肉类：腿肉，瘦肉，三层肉，排骨，龙骨，猪肝，猪肚，猪头骨，筒骨，猪脚，大肠，小肠，猪血等</w:t>
            </w:r>
          </w:p>
        </w:tc>
      </w:tr>
      <w:tr w14:paraId="7283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41" w:type="pct"/>
            <w:vMerge w:val="continue"/>
            <w:shd w:val="clear" w:color="auto" w:fill="auto"/>
            <w:noWrap/>
            <w:vAlign w:val="center"/>
          </w:tcPr>
          <w:p w14:paraId="06D7F303">
            <w:pPr>
              <w:jc w:val="center"/>
              <w:rPr>
                <w:rFonts w:ascii="宋体" w:hAnsi="宋体" w:cs="宋体"/>
                <w:color w:val="000000"/>
                <w:sz w:val="24"/>
              </w:rPr>
            </w:pPr>
          </w:p>
        </w:tc>
        <w:tc>
          <w:tcPr>
            <w:tcW w:w="3858" w:type="pct"/>
            <w:shd w:val="clear" w:color="auto" w:fill="auto"/>
            <w:vAlign w:val="center"/>
          </w:tcPr>
          <w:p w14:paraId="0080A611">
            <w:pPr>
              <w:widowControl/>
              <w:jc w:val="left"/>
              <w:textAlignment w:val="center"/>
              <w:rPr>
                <w:rFonts w:ascii="宋体" w:hAnsi="宋体" w:cs="宋体"/>
                <w:color w:val="000000"/>
                <w:sz w:val="24"/>
              </w:rPr>
            </w:pPr>
            <w:r>
              <w:rPr>
                <w:rFonts w:hint="eastAsia" w:ascii="宋体" w:hAnsi="宋体" w:cs="宋体"/>
                <w:color w:val="000000"/>
                <w:kern w:val="0"/>
                <w:sz w:val="24"/>
              </w:rPr>
              <w:t>牛肉类：牛肉，牛腩，牛肚，牛排，牛腱肉，牛百叶等</w:t>
            </w:r>
          </w:p>
        </w:tc>
      </w:tr>
      <w:tr w14:paraId="7E43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41" w:type="pct"/>
            <w:vMerge w:val="continue"/>
            <w:shd w:val="clear" w:color="auto" w:fill="auto"/>
            <w:noWrap/>
            <w:vAlign w:val="center"/>
          </w:tcPr>
          <w:p w14:paraId="66D0E5EE">
            <w:pPr>
              <w:jc w:val="center"/>
              <w:rPr>
                <w:rFonts w:ascii="宋体" w:hAnsi="宋体" w:cs="宋体"/>
                <w:color w:val="000000"/>
                <w:sz w:val="24"/>
              </w:rPr>
            </w:pPr>
          </w:p>
        </w:tc>
        <w:tc>
          <w:tcPr>
            <w:tcW w:w="3858" w:type="pct"/>
            <w:shd w:val="clear" w:color="auto" w:fill="auto"/>
            <w:vAlign w:val="center"/>
          </w:tcPr>
          <w:p w14:paraId="63BE176A">
            <w:pPr>
              <w:widowControl/>
              <w:jc w:val="left"/>
              <w:textAlignment w:val="center"/>
              <w:rPr>
                <w:rFonts w:ascii="宋体" w:hAnsi="宋体" w:cs="宋体"/>
                <w:color w:val="000000"/>
                <w:sz w:val="24"/>
              </w:rPr>
            </w:pPr>
            <w:r>
              <w:rPr>
                <w:rFonts w:hint="eastAsia" w:ascii="宋体" w:hAnsi="宋体" w:cs="宋体"/>
                <w:color w:val="000000"/>
                <w:kern w:val="0"/>
                <w:sz w:val="24"/>
              </w:rPr>
              <w:t>其他类：羊肉，白条鸡，三黄鸡，乌鸡，白鸭，番鸭等</w:t>
            </w:r>
          </w:p>
        </w:tc>
      </w:tr>
      <w:tr w14:paraId="29F7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1141" w:type="pct"/>
            <w:vMerge w:val="continue"/>
            <w:shd w:val="clear" w:color="auto" w:fill="auto"/>
            <w:noWrap/>
            <w:vAlign w:val="center"/>
          </w:tcPr>
          <w:p w14:paraId="502EEBD0">
            <w:pPr>
              <w:jc w:val="center"/>
              <w:rPr>
                <w:rFonts w:ascii="宋体" w:hAnsi="宋体" w:cs="宋体"/>
                <w:color w:val="000000"/>
                <w:sz w:val="24"/>
              </w:rPr>
            </w:pPr>
          </w:p>
        </w:tc>
        <w:tc>
          <w:tcPr>
            <w:tcW w:w="3858" w:type="pct"/>
            <w:shd w:val="clear" w:color="auto" w:fill="auto"/>
            <w:vAlign w:val="center"/>
          </w:tcPr>
          <w:p w14:paraId="4A325381">
            <w:pPr>
              <w:widowControl/>
              <w:jc w:val="left"/>
              <w:textAlignment w:val="center"/>
              <w:rPr>
                <w:rFonts w:ascii="宋体" w:hAnsi="宋体" w:cs="宋体"/>
                <w:color w:val="000000"/>
                <w:sz w:val="24"/>
              </w:rPr>
            </w:pPr>
            <w:r>
              <w:rPr>
                <w:rFonts w:hint="eastAsia" w:ascii="宋体" w:hAnsi="宋体" w:cs="宋体"/>
                <w:color w:val="000000"/>
                <w:kern w:val="0"/>
                <w:sz w:val="24"/>
              </w:rPr>
              <w:t>冻品类：鸡腿，鸭腿，鸡翅，鸡边腿，半片鸭，冻排骨，小肠，鱿鱼筒，烤腿牌，鸡爪，扬美牛肉丸，馥华珍珠鱼丸，培根，热狗肠，五香卷，盐酥鸡，鸡米花，牛仔骨，密制海山骨，澳式羊肚，鱿鱼串，乐肴居鲜肉包，利口福豆沙包，利口福叉烧包，安井奶黄包，鸡肠，鸭心等</w:t>
            </w:r>
          </w:p>
        </w:tc>
      </w:tr>
      <w:tr w14:paraId="68B6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141" w:type="pct"/>
            <w:shd w:val="clear" w:color="auto" w:fill="auto"/>
            <w:noWrap/>
            <w:vAlign w:val="center"/>
          </w:tcPr>
          <w:p w14:paraId="628723EE">
            <w:pPr>
              <w:widowControl/>
              <w:jc w:val="center"/>
              <w:textAlignment w:val="center"/>
              <w:rPr>
                <w:rFonts w:ascii="宋体" w:hAnsi="宋体" w:cs="宋体"/>
                <w:color w:val="000000"/>
                <w:sz w:val="24"/>
              </w:rPr>
            </w:pPr>
            <w:r>
              <w:rPr>
                <w:rFonts w:hint="eastAsia" w:ascii="宋体" w:hAnsi="宋体" w:cs="宋体"/>
                <w:color w:val="000000"/>
                <w:kern w:val="0"/>
                <w:sz w:val="24"/>
              </w:rPr>
              <w:t>水产，海产类</w:t>
            </w:r>
          </w:p>
        </w:tc>
        <w:tc>
          <w:tcPr>
            <w:tcW w:w="3858" w:type="pct"/>
            <w:shd w:val="clear" w:color="auto" w:fill="auto"/>
            <w:vAlign w:val="bottom"/>
          </w:tcPr>
          <w:p w14:paraId="7246818C">
            <w:pPr>
              <w:widowControl/>
              <w:jc w:val="left"/>
              <w:textAlignment w:val="bottom"/>
              <w:rPr>
                <w:rFonts w:ascii="宋体" w:hAnsi="宋体" w:cs="宋体"/>
                <w:color w:val="000000"/>
                <w:sz w:val="24"/>
              </w:rPr>
            </w:pPr>
            <w:r>
              <w:rPr>
                <w:rFonts w:hint="eastAsia" w:ascii="宋体" w:hAnsi="宋体" w:cs="宋体"/>
                <w:color w:val="000000"/>
                <w:kern w:val="0"/>
                <w:sz w:val="24"/>
              </w:rPr>
              <w:t>肉鲳鱼，必香鱼，赤鲫鱼，带鱼，秋刀鱼，豆腐鱼，牛尾鱼，塔西鱼，白鲳鱼，巴浪鱼，草鱼，乌鱼，鲢鱼，基围虾，白丁虾，墨鱼，鱿鱼，小墨鱼，小鱿鱼，海鳗鱼，海蚌，花蛤，海蛎，黄翅鱼，敏鱼，青斑鱼，黄花鱼，蛏等，苏糕，马鲛羹，虾条，五香卷，猪料粿，肉丸，鱼丸，芋丸，菜丸等</w:t>
            </w:r>
          </w:p>
        </w:tc>
      </w:tr>
      <w:tr w14:paraId="2E08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0" w:hRule="atLeast"/>
        </w:trPr>
        <w:tc>
          <w:tcPr>
            <w:tcW w:w="1141" w:type="pct"/>
            <w:shd w:val="clear" w:color="auto" w:fill="auto"/>
            <w:noWrap/>
            <w:vAlign w:val="center"/>
          </w:tcPr>
          <w:p w14:paraId="50A8BC9D">
            <w:pPr>
              <w:widowControl/>
              <w:jc w:val="center"/>
              <w:textAlignment w:val="center"/>
              <w:rPr>
                <w:rFonts w:ascii="宋体" w:hAnsi="宋体" w:cs="宋体"/>
                <w:color w:val="000000"/>
                <w:sz w:val="24"/>
              </w:rPr>
            </w:pPr>
            <w:r>
              <w:rPr>
                <w:rFonts w:hint="eastAsia" w:ascii="宋体" w:hAnsi="宋体" w:cs="宋体"/>
                <w:color w:val="000000"/>
                <w:kern w:val="0"/>
                <w:sz w:val="24"/>
              </w:rPr>
              <w:t>食杂调味品类</w:t>
            </w:r>
          </w:p>
        </w:tc>
        <w:tc>
          <w:tcPr>
            <w:tcW w:w="3858" w:type="pct"/>
            <w:shd w:val="clear" w:color="auto" w:fill="auto"/>
            <w:vAlign w:val="bottom"/>
          </w:tcPr>
          <w:p w14:paraId="08F938E4">
            <w:pPr>
              <w:widowControl/>
              <w:jc w:val="left"/>
              <w:textAlignment w:val="bottom"/>
              <w:rPr>
                <w:rFonts w:ascii="宋体" w:hAnsi="宋体" w:cs="宋体"/>
                <w:color w:val="000000"/>
                <w:sz w:val="24"/>
              </w:rPr>
            </w:pPr>
            <w:r>
              <w:rPr>
                <w:rFonts w:hint="eastAsia" w:ascii="宋体" w:hAnsi="宋体" w:cs="宋体"/>
                <w:color w:val="000000"/>
                <w:kern w:val="0"/>
                <w:sz w:val="24"/>
              </w:rPr>
              <w:t>味思达酱油，海天草菇老抽，海天蚝油，福瑞味精，玉米淀粉，百味佳香脆炸粉，唐龙甜辣酱，郫县豆瓣酱，画马石丁香鱼，老才臣腐乳，美丽源肉松，好菜郎油焖金菇，三厨菜脯，丽珠粉丝，湖头米粉，厦门面线，双层蛋面，家乐鸡精，十三香，永春老醋，白醋，陶味园味椒盐，陶味园胡椒粉，妙多牌咖哩粉，海天蒸鱼豉油，食盐，白糖，地瓜粉，麻油，紫菜，散装鸡蛋，放养土鸡蛋，皮蛋，咸蛋，面粉，干辣椒，香菇，干贝，莲子，花生仁，黄豆，黄花菜，笋干，番茄沙司，虾皮，小鱼干等。当归，八角，桂皮，桂枝，香叶，枸杞，熟地等香料</w:t>
            </w:r>
          </w:p>
        </w:tc>
      </w:tr>
    </w:tbl>
    <w:p w14:paraId="476FCC92">
      <w:pPr>
        <w:adjustRightInd w:val="0"/>
        <w:snapToGrid w:val="0"/>
        <w:spacing w:line="360" w:lineRule="auto"/>
        <w:ind w:firstLine="420" w:firstLineChars="200"/>
        <w:rPr>
          <w:rFonts w:ascii="宋体" w:hAnsi="宋体" w:cs="宋体"/>
          <w:szCs w:val="21"/>
        </w:rPr>
      </w:pPr>
      <w:r>
        <w:rPr>
          <w:rFonts w:hint="eastAsia" w:ascii="宋体" w:hAnsi="宋体" w:cs="宋体"/>
          <w:szCs w:val="21"/>
        </w:rPr>
        <w:t>（1）预估金额：</w:t>
      </w:r>
      <w:r>
        <w:rPr>
          <w:rFonts w:hint="eastAsia" w:ascii="宋体" w:hAnsi="宋体" w:cs="宋体"/>
          <w:szCs w:val="21"/>
          <w:highlight w:val="yellow"/>
        </w:rPr>
        <w:t>【</w:t>
      </w:r>
      <w:r>
        <w:rPr>
          <w:rFonts w:hint="eastAsia" w:ascii="宋体" w:hAnsi="宋体" w:cs="宋体"/>
          <w:szCs w:val="21"/>
          <w:highlight w:val="yellow"/>
          <w:lang w:val="en-US" w:eastAsia="zh-CN"/>
        </w:rPr>
        <w:t>348.04</w:t>
      </w:r>
      <w:r>
        <w:rPr>
          <w:rFonts w:hint="eastAsia" w:ascii="宋体" w:hAnsi="宋体" w:cs="宋体"/>
          <w:szCs w:val="21"/>
          <w:highlight w:val="yellow"/>
        </w:rPr>
        <w:t>】万元</w:t>
      </w:r>
      <w:r>
        <w:rPr>
          <w:rFonts w:hint="eastAsia" w:ascii="宋体" w:hAnsi="宋体" w:cs="宋体"/>
          <w:szCs w:val="21"/>
        </w:rPr>
        <w:t>（不含税）；</w:t>
      </w:r>
    </w:p>
    <w:p w14:paraId="020EB921">
      <w:pPr>
        <w:wordWrap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（2）项目类型：</w:t>
      </w:r>
      <w:r>
        <w:rPr>
          <w:rFonts w:hint="eastAsia" w:ascii="宋体" w:hAnsi="宋体" w:cs="宋体"/>
          <w:szCs w:val="21"/>
          <w:highlight w:val="yellow"/>
        </w:rPr>
        <w:t>【货物/服务】</w:t>
      </w:r>
      <w:r>
        <w:rPr>
          <w:rFonts w:hint="eastAsia" w:ascii="宋体" w:hAnsi="宋体" w:cs="宋体"/>
          <w:szCs w:val="21"/>
        </w:rPr>
        <w:t>；</w:t>
      </w:r>
    </w:p>
    <w:p w14:paraId="6AB7184F">
      <w:pPr>
        <w:adjustRightInd w:val="0"/>
        <w:snapToGrid w:val="0"/>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szCs w:val="21"/>
        </w:rPr>
        <w:t>技术</w:t>
      </w:r>
      <w:r>
        <w:rPr>
          <w:rFonts w:hint="eastAsia" w:ascii="宋体" w:hAnsi="宋体" w:cs="宋体"/>
          <w:szCs w:val="21"/>
        </w:rPr>
        <w:t>要求：以招标文件第五章技术规范书要求为准；</w:t>
      </w:r>
    </w:p>
    <w:p w14:paraId="2EDED58E">
      <w:pPr>
        <w:adjustRightInd w:val="0"/>
        <w:snapToGrid w:val="0"/>
        <w:spacing w:line="360" w:lineRule="auto"/>
        <w:ind w:firstLine="420" w:firstLineChars="200"/>
        <w:rPr>
          <w:rFonts w:ascii="Yuanti SC Bold" w:hAnsi="Yuanti SC Bold" w:eastAsia="Yuanti SC Bold" w:cs="Yuanti SC Bold"/>
          <w:b/>
          <w:bCs/>
          <w:color w:val="FF0000"/>
          <w:szCs w:val="21"/>
        </w:rPr>
      </w:pPr>
      <w:r>
        <w:rPr>
          <w:rFonts w:hint="eastAsia" w:ascii="宋体" w:hAnsi="宋体" w:cs="宋体"/>
          <w:szCs w:val="21"/>
        </w:rPr>
        <w:t>1.2</w:t>
      </w:r>
      <w:r>
        <w:rPr>
          <w:rFonts w:hint="eastAsia" w:ascii="宋体" w:hAnsi="宋体" w:eastAsia="宋体" w:cs="宋体"/>
          <w:szCs w:val="21"/>
          <w14:ligatures w14:val="none"/>
        </w:rPr>
        <w:t>本</w:t>
      </w:r>
      <w:r>
        <w:rPr>
          <w:rFonts w:hint="eastAsia" w:ascii="宋体" w:hAnsi="宋体" w:eastAsia="宋体" w:cs="Times New Roman"/>
          <w:szCs w:val="21"/>
          <w14:ligatures w14:val="none"/>
        </w:rPr>
        <w:t>项目</w:t>
      </w:r>
      <w:r>
        <w:rPr>
          <w:rFonts w:hint="eastAsia" w:ascii="宋体" w:hAnsi="宋体" w:cs="Times New Roman"/>
          <w:szCs w:val="21"/>
          <w:lang w:val="en-US" w:eastAsia="zh-CN"/>
          <w14:ligatures w14:val="none"/>
        </w:rPr>
        <w:t>各标包</w:t>
      </w:r>
      <w:r>
        <w:rPr>
          <w:rFonts w:hint="eastAsia" w:ascii="宋体" w:hAnsi="宋体" w:eastAsia="宋体" w:cs="宋体"/>
          <w:color w:val="000000"/>
          <w:szCs w:val="21"/>
          <w14:ligatures w14:val="none"/>
        </w:rPr>
        <w:t>中标候选人</w:t>
      </w:r>
      <w:r>
        <w:rPr>
          <w:rFonts w:hint="eastAsia" w:ascii="宋体" w:hAnsi="宋体" w:eastAsia="宋体" w:cs="宋体"/>
          <w:color w:val="000000"/>
          <w:kern w:val="0"/>
          <w:szCs w:val="21"/>
          <w14:ligatures w14:val="none"/>
        </w:rPr>
        <w:t>数量为</w:t>
      </w:r>
      <w:r>
        <w:rPr>
          <w:rFonts w:hint="eastAsia" w:ascii="宋体" w:hAnsi="宋体" w:eastAsia="宋体" w:cs="宋体"/>
          <w:color w:val="000000"/>
          <w:szCs w:val="21"/>
          <w14:ligatures w14:val="none"/>
        </w:rPr>
        <w:t>【2】</w:t>
      </w:r>
      <w:r>
        <w:rPr>
          <w:rFonts w:hint="eastAsia" w:ascii="宋体" w:hAnsi="宋体" w:eastAsia="宋体" w:cs="宋体"/>
          <w:color w:val="000000"/>
          <w:kern w:val="0"/>
          <w:szCs w:val="21"/>
          <w14:ligatures w14:val="none"/>
        </w:rPr>
        <w:t>个，</w:t>
      </w:r>
      <w:r>
        <w:rPr>
          <w:rFonts w:hint="eastAsia" w:ascii="宋体" w:hAnsi="宋体" w:eastAsia="宋体" w:cs="宋体"/>
          <w:szCs w:val="21"/>
          <w14:ligatures w14:val="none"/>
        </w:rPr>
        <w:t>中标人数量为</w:t>
      </w:r>
      <w:r>
        <w:rPr>
          <w:rFonts w:hint="eastAsia" w:ascii="宋体" w:hAnsi="宋体" w:eastAsia="宋体" w:cs="宋体"/>
          <w:szCs w:val="21"/>
          <w:u w:val="single"/>
          <w14:ligatures w14:val="none"/>
        </w:rPr>
        <w:t>【1】</w:t>
      </w:r>
      <w:r>
        <w:rPr>
          <w:rFonts w:hint="eastAsia" w:ascii="宋体" w:hAnsi="宋体" w:eastAsia="宋体" w:cs="宋体"/>
          <w:szCs w:val="21"/>
          <w14:ligatures w14:val="none"/>
        </w:rPr>
        <w:t>个，中标人份额比例为100%，中标人份额=</w:t>
      </w:r>
      <w:r>
        <w:rPr>
          <w:rFonts w:hint="eastAsia" w:ascii="宋体" w:hAnsi="宋体" w:eastAsia="宋体" w:cs="宋体"/>
          <w:color w:val="000000"/>
          <w:kern w:val="0"/>
          <w:szCs w:val="21"/>
          <w:lang w:bidi="ar"/>
          <w14:ligatures w14:val="none"/>
        </w:rPr>
        <w:t>预估不含税金额*（1+应答税率）*中标人份额</w:t>
      </w:r>
      <w:r>
        <w:rPr>
          <w:rFonts w:hint="eastAsia" w:ascii="宋体" w:hAnsi="宋体" w:eastAsia="宋体" w:cs="Times New Roman"/>
          <w:szCs w:val="21"/>
          <w14:ligatures w14:val="none"/>
        </w:rPr>
        <w:t>比例</w:t>
      </w:r>
      <w:r>
        <w:rPr>
          <w:rFonts w:hint="eastAsia" w:ascii="宋体" w:hAnsi="宋体" w:cs="宋体"/>
          <w:color w:val="000000"/>
          <w:kern w:val="0"/>
          <w:szCs w:val="21"/>
        </w:rPr>
        <w:t xml:space="preserve">。            </w:t>
      </w:r>
    </w:p>
    <w:p w14:paraId="469680FF">
      <w:pPr>
        <w:adjustRightInd w:val="0"/>
        <w:snapToGrid w:val="0"/>
        <w:spacing w:line="360" w:lineRule="auto"/>
        <w:ind w:firstLine="420" w:firstLineChars="200"/>
        <w:rPr>
          <w:rFonts w:hint="eastAsia" w:ascii="宋体" w:hAnsi="宋体" w:cs="宋体"/>
          <w:szCs w:val="21"/>
          <w:highlight w:val="green"/>
          <w:lang w:val="en-US" w:eastAsia="zh-CN"/>
        </w:rPr>
      </w:pPr>
      <w:r>
        <w:rPr>
          <w:rFonts w:hint="eastAsia" w:ascii="宋体" w:hAnsi="宋体" w:cs="宋体"/>
          <w:szCs w:val="21"/>
          <w:highlight w:val="green"/>
        </w:rPr>
        <w:t>1.3本项目划分标包，具体标包划分情况</w:t>
      </w:r>
      <w:r>
        <w:rPr>
          <w:rFonts w:hint="eastAsia" w:ascii="宋体" w:hAnsi="宋体" w:cs="宋体"/>
          <w:szCs w:val="21"/>
          <w:highlight w:val="green"/>
          <w:lang w:val="en-US" w:eastAsia="zh-CN"/>
        </w:rPr>
        <w:t>如下：</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900"/>
        <w:gridCol w:w="1824"/>
        <w:gridCol w:w="1916"/>
        <w:gridCol w:w="1463"/>
        <w:gridCol w:w="1465"/>
      </w:tblGrid>
      <w:tr w14:paraId="56A5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558" w:type="pct"/>
            <w:shd w:val="clear" w:color="000000" w:fill="F2F2F2"/>
            <w:vAlign w:val="center"/>
          </w:tcPr>
          <w:p w14:paraId="4DCCCB7A">
            <w:pPr>
              <w:widowControl/>
              <w:spacing w:after="160" w:line="276" w:lineRule="auto"/>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标包号</w:t>
            </w:r>
          </w:p>
        </w:tc>
        <w:tc>
          <w:tcPr>
            <w:tcW w:w="528" w:type="pct"/>
            <w:shd w:val="clear" w:color="000000" w:fill="F2F2F2"/>
            <w:vAlign w:val="center"/>
          </w:tcPr>
          <w:p w14:paraId="51932D1D">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项目地点</w:t>
            </w:r>
          </w:p>
        </w:tc>
        <w:tc>
          <w:tcPr>
            <w:tcW w:w="1070" w:type="pct"/>
            <w:shd w:val="clear" w:color="000000" w:fill="F2F2F2"/>
            <w:vAlign w:val="center"/>
          </w:tcPr>
          <w:p w14:paraId="3FC194CF">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cs="宋体"/>
                <w:color w:val="000000"/>
                <w:kern w:val="0"/>
                <w:sz w:val="24"/>
              </w:rPr>
              <w:t>蔬菜农畜产品</w:t>
            </w:r>
            <w:r>
              <w:rPr>
                <w:rFonts w:hint="eastAsia" w:ascii="宋体" w:hAnsi="宋体" w:cs="宋体"/>
                <w:color w:val="000000"/>
                <w:kern w:val="0"/>
                <w:sz w:val="24"/>
                <w:lang w:val="en-US" w:eastAsia="zh-CN"/>
              </w:rPr>
              <w:t>金额不含税（万/年）</w:t>
            </w:r>
          </w:p>
        </w:tc>
        <w:tc>
          <w:tcPr>
            <w:tcW w:w="1124" w:type="pct"/>
            <w:shd w:val="clear" w:color="000000" w:fill="F2F2F2"/>
            <w:vAlign w:val="center"/>
          </w:tcPr>
          <w:p w14:paraId="7D4CFD07">
            <w:pPr>
              <w:widowControl/>
              <w:spacing w:after="160" w:line="276" w:lineRule="auto"/>
              <w:jc w:val="center"/>
              <w:rPr>
                <w:rFonts w:ascii="宋体" w:hAnsi="宋体" w:eastAsia="宋体" w:cs="宋体"/>
                <w:kern w:val="0"/>
                <w:szCs w:val="21"/>
                <w14:ligatures w14:val="none"/>
              </w:rPr>
            </w:pPr>
            <w:r>
              <w:rPr>
                <w:rFonts w:hint="eastAsia" w:ascii="宋体" w:hAnsi="宋体" w:cs="宋体"/>
                <w:color w:val="000000"/>
                <w:kern w:val="0"/>
                <w:sz w:val="24"/>
              </w:rPr>
              <w:t>水产，海产类</w:t>
            </w:r>
            <w:r>
              <w:rPr>
                <w:rFonts w:hint="eastAsia" w:ascii="宋体" w:hAnsi="宋体" w:cs="宋体"/>
                <w:color w:val="000000"/>
                <w:kern w:val="0"/>
                <w:sz w:val="24"/>
                <w:lang w:val="en-US" w:eastAsia="zh-CN"/>
              </w:rPr>
              <w:t>不含税（万/年）</w:t>
            </w:r>
          </w:p>
        </w:tc>
        <w:tc>
          <w:tcPr>
            <w:tcW w:w="858" w:type="pct"/>
            <w:shd w:val="clear" w:color="000000" w:fill="F2F2F2"/>
            <w:vAlign w:val="center"/>
          </w:tcPr>
          <w:p w14:paraId="009ADCE2">
            <w:pPr>
              <w:widowControl/>
              <w:spacing w:after="160" w:line="276" w:lineRule="auto"/>
              <w:jc w:val="center"/>
              <w:rPr>
                <w:rFonts w:ascii="宋体" w:hAnsi="宋体" w:eastAsia="宋体" w:cs="宋体"/>
                <w:kern w:val="0"/>
                <w:szCs w:val="21"/>
                <w14:ligatures w14:val="none"/>
              </w:rPr>
            </w:pPr>
            <w:r>
              <w:rPr>
                <w:rFonts w:hint="eastAsia" w:ascii="宋体" w:hAnsi="宋体" w:cs="宋体"/>
                <w:color w:val="000000"/>
                <w:kern w:val="0"/>
                <w:sz w:val="24"/>
              </w:rPr>
              <w:t>食杂调味品类</w:t>
            </w:r>
            <w:r>
              <w:rPr>
                <w:rFonts w:hint="eastAsia" w:ascii="宋体" w:hAnsi="宋体" w:cs="宋体"/>
                <w:color w:val="000000"/>
                <w:kern w:val="0"/>
                <w:sz w:val="24"/>
                <w:lang w:val="en-US" w:eastAsia="zh-CN"/>
              </w:rPr>
              <w:t>不含税（万/年）</w:t>
            </w:r>
          </w:p>
        </w:tc>
        <w:tc>
          <w:tcPr>
            <w:tcW w:w="859" w:type="pct"/>
            <w:shd w:val="clear" w:color="000000" w:fill="F2F2F2"/>
            <w:vAlign w:val="center"/>
          </w:tcPr>
          <w:p w14:paraId="6FD60B03">
            <w:pPr>
              <w:widowControl/>
              <w:spacing w:after="160" w:line="276" w:lineRule="auto"/>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不含税总价合计（万元/年）</w:t>
            </w:r>
          </w:p>
        </w:tc>
      </w:tr>
      <w:tr w14:paraId="3CAC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14:paraId="70C02D3A">
            <w:pPr>
              <w:widowControl/>
              <w:spacing w:after="160" w:line="276" w:lineRule="auto"/>
              <w:jc w:val="center"/>
              <w:rPr>
                <w:rFonts w:hint="eastAsia" w:ascii="宋体" w:hAnsi="宋体" w:eastAsia="宋体" w:cs="宋体"/>
                <w:kern w:val="0"/>
                <w:szCs w:val="21"/>
                <w:highlight w:val="yellow"/>
                <w:lang w:eastAsia="zh-CN"/>
                <w14:ligatures w14:val="none"/>
              </w:rPr>
            </w:pPr>
            <w:r>
              <w:rPr>
                <w:rFonts w:hint="eastAsia" w:ascii="宋体" w:hAnsi="宋体" w:eastAsia="宋体" w:cs="宋体"/>
                <w:kern w:val="0"/>
                <w:szCs w:val="21"/>
                <w:highlight w:val="yellow"/>
                <w:lang w:val="en-US" w:eastAsia="zh-CN"/>
                <w14:ligatures w14:val="none"/>
              </w:rPr>
              <w:t>1</w:t>
            </w:r>
          </w:p>
        </w:tc>
        <w:tc>
          <w:tcPr>
            <w:tcW w:w="528" w:type="pct"/>
            <w:shd w:val="clear" w:color="auto" w:fill="auto"/>
            <w:vAlign w:val="center"/>
          </w:tcPr>
          <w:p w14:paraId="37C9709A">
            <w:pPr>
              <w:widowControl/>
              <w:spacing w:after="160" w:line="276" w:lineRule="auto"/>
              <w:jc w:val="center"/>
              <w:rPr>
                <w:rFonts w:hint="default" w:ascii="宋体" w:hAnsi="宋体" w:eastAsia="宋体" w:cs="宋体"/>
                <w:kern w:val="0"/>
                <w:szCs w:val="21"/>
                <w:highlight w:val="yellow"/>
                <w:lang w:val="en-US" w:eastAsia="zh-CN"/>
                <w14:ligatures w14:val="none"/>
              </w:rPr>
            </w:pPr>
            <w:r>
              <w:rPr>
                <w:rFonts w:hint="eastAsia" w:ascii="宋体" w:hAnsi="宋体" w:eastAsia="宋体" w:cs="宋体"/>
                <w:kern w:val="0"/>
                <w:szCs w:val="21"/>
                <w:highlight w:val="yellow"/>
                <w:lang w:val="en-US" w:eastAsia="zh-CN"/>
                <w14:ligatures w14:val="none"/>
              </w:rPr>
              <w:t>晋江电信食堂</w:t>
            </w:r>
          </w:p>
        </w:tc>
        <w:tc>
          <w:tcPr>
            <w:tcW w:w="1070" w:type="pct"/>
            <w:shd w:val="clear" w:color="auto" w:fill="auto"/>
            <w:vAlign w:val="center"/>
          </w:tcPr>
          <w:p w14:paraId="5779FE11">
            <w:pPr>
              <w:widowControl/>
              <w:spacing w:after="160" w:line="276" w:lineRule="auto"/>
              <w:jc w:val="center"/>
              <w:rPr>
                <w:rFonts w:hint="default" w:ascii="宋体" w:hAnsi="宋体" w:eastAsia="宋体" w:cs="宋体"/>
                <w:kern w:val="0"/>
                <w:szCs w:val="21"/>
                <w:highlight w:val="yellow"/>
                <w:lang w:val="en-US" w:eastAsia="zh-CN"/>
                <w14:ligatures w14:val="none"/>
              </w:rPr>
            </w:pPr>
            <w:r>
              <w:rPr>
                <w:rFonts w:hint="eastAsia" w:ascii="宋体" w:hAnsi="宋体" w:eastAsia="宋体" w:cs="宋体"/>
                <w:kern w:val="0"/>
                <w:szCs w:val="21"/>
                <w:highlight w:val="yellow"/>
                <w:lang w:val="en-US" w:eastAsia="zh-CN"/>
                <w14:ligatures w14:val="none"/>
              </w:rPr>
              <w:t>65</w:t>
            </w:r>
          </w:p>
        </w:tc>
        <w:tc>
          <w:tcPr>
            <w:tcW w:w="1124" w:type="pct"/>
            <w:shd w:val="clear" w:color="auto" w:fill="auto"/>
            <w:vAlign w:val="center"/>
          </w:tcPr>
          <w:p w14:paraId="50F24AED">
            <w:pPr>
              <w:widowControl/>
              <w:spacing w:after="160" w:line="276" w:lineRule="auto"/>
              <w:jc w:val="center"/>
              <w:rPr>
                <w:rFonts w:hint="default" w:ascii="宋体" w:hAnsi="宋体" w:eastAsia="宋体" w:cs="宋体"/>
                <w:kern w:val="0"/>
                <w:szCs w:val="21"/>
                <w:highlight w:val="yellow"/>
                <w:lang w:val="en-US" w:eastAsia="zh-CN"/>
                <w14:ligatures w14:val="none"/>
              </w:rPr>
            </w:pPr>
            <w:r>
              <w:rPr>
                <w:rFonts w:hint="eastAsia" w:ascii="宋体" w:hAnsi="宋体" w:eastAsia="宋体" w:cs="宋体"/>
                <w:kern w:val="0"/>
                <w:szCs w:val="21"/>
                <w:highlight w:val="yellow"/>
                <w:lang w:val="en-US" w:eastAsia="zh-CN"/>
                <w14:ligatures w14:val="none"/>
              </w:rPr>
              <w:t>25</w:t>
            </w:r>
          </w:p>
        </w:tc>
        <w:tc>
          <w:tcPr>
            <w:tcW w:w="858" w:type="pct"/>
            <w:vAlign w:val="center"/>
          </w:tcPr>
          <w:p w14:paraId="23986AE2">
            <w:pPr>
              <w:widowControl/>
              <w:spacing w:after="160" w:line="276" w:lineRule="auto"/>
              <w:jc w:val="center"/>
              <w:rPr>
                <w:rFonts w:hint="default" w:ascii="宋体" w:hAnsi="宋体" w:eastAsia="宋体" w:cs="宋体"/>
                <w:kern w:val="0"/>
                <w:szCs w:val="21"/>
                <w:highlight w:val="yellow"/>
                <w:lang w:val="en-US" w:eastAsia="zh-CN"/>
                <w14:ligatures w14:val="none"/>
              </w:rPr>
            </w:pPr>
            <w:r>
              <w:rPr>
                <w:rFonts w:hint="eastAsia" w:ascii="宋体" w:hAnsi="宋体" w:eastAsia="宋体" w:cs="宋体"/>
                <w:kern w:val="0"/>
                <w:szCs w:val="21"/>
                <w:highlight w:val="yellow"/>
                <w:lang w:val="en-US" w:eastAsia="zh-CN"/>
                <w14:ligatures w14:val="none"/>
              </w:rPr>
              <w:t>10</w:t>
            </w:r>
          </w:p>
        </w:tc>
        <w:tc>
          <w:tcPr>
            <w:tcW w:w="859" w:type="pct"/>
            <w:vAlign w:val="center"/>
          </w:tcPr>
          <w:p w14:paraId="551DDA23">
            <w:pPr>
              <w:widowControl/>
              <w:spacing w:after="160" w:line="276" w:lineRule="auto"/>
              <w:jc w:val="center"/>
              <w:rPr>
                <w:rFonts w:hint="default" w:ascii="宋体" w:hAnsi="宋体" w:eastAsia="宋体" w:cs="宋体"/>
                <w:kern w:val="0"/>
                <w:szCs w:val="21"/>
                <w:highlight w:val="yellow"/>
                <w:lang w:val="en-US" w:eastAsia="zh-CN"/>
                <w14:ligatures w14:val="none"/>
              </w:rPr>
            </w:pPr>
            <w:r>
              <w:rPr>
                <w:rFonts w:hint="eastAsia" w:ascii="宋体" w:hAnsi="宋体" w:eastAsia="宋体" w:cs="宋体"/>
                <w:kern w:val="0"/>
                <w:szCs w:val="21"/>
                <w:highlight w:val="yellow"/>
                <w:lang w:val="en-US" w:eastAsia="zh-CN"/>
                <w14:ligatures w14:val="none"/>
              </w:rPr>
              <w:t>100</w:t>
            </w:r>
          </w:p>
        </w:tc>
      </w:tr>
      <w:tr w14:paraId="6E13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14:paraId="1619274C">
            <w:pPr>
              <w:widowControl/>
              <w:spacing w:after="160" w:line="276" w:lineRule="auto"/>
              <w:jc w:val="center"/>
              <w:rPr>
                <w:rFonts w:hint="eastAsia" w:ascii="宋体" w:hAnsi="宋体" w:eastAsia="宋体" w:cs="宋体"/>
                <w:kern w:val="0"/>
                <w:szCs w:val="21"/>
                <w:highlight w:val="none"/>
                <w:lang w:eastAsia="zh-CN"/>
                <w14:ligatures w14:val="none"/>
              </w:rPr>
            </w:pPr>
            <w:r>
              <w:rPr>
                <w:rFonts w:hint="eastAsia" w:ascii="宋体" w:hAnsi="宋体" w:eastAsia="宋体" w:cs="宋体"/>
                <w:kern w:val="0"/>
                <w:szCs w:val="21"/>
                <w:highlight w:val="none"/>
                <w:lang w:val="en-US" w:eastAsia="zh-CN"/>
                <w14:ligatures w14:val="none"/>
              </w:rPr>
              <w:t>2</w:t>
            </w:r>
          </w:p>
        </w:tc>
        <w:tc>
          <w:tcPr>
            <w:tcW w:w="528" w:type="pct"/>
            <w:shd w:val="clear" w:color="auto" w:fill="auto"/>
            <w:vAlign w:val="center"/>
          </w:tcPr>
          <w:p w14:paraId="475BF327">
            <w:pPr>
              <w:widowControl/>
              <w:spacing w:after="160" w:line="276" w:lineRule="auto"/>
              <w:jc w:val="center"/>
              <w:rPr>
                <w:rFonts w:ascii="宋体" w:hAnsi="宋体" w:eastAsia="宋体" w:cs="宋体"/>
                <w:kern w:val="0"/>
                <w:szCs w:val="21"/>
                <w14:ligatures w14:val="none"/>
              </w:rPr>
            </w:pPr>
            <w:r>
              <w:rPr>
                <w:rFonts w:hint="eastAsia" w:ascii="宋体" w:hAnsi="宋体" w:eastAsia="宋体" w:cs="宋体"/>
                <w:kern w:val="0"/>
                <w:szCs w:val="21"/>
                <w:lang w:val="en-US" w:eastAsia="zh-CN"/>
                <w14:ligatures w14:val="none"/>
              </w:rPr>
              <w:t>石狮电信食堂</w:t>
            </w:r>
          </w:p>
        </w:tc>
        <w:tc>
          <w:tcPr>
            <w:tcW w:w="1070" w:type="pct"/>
            <w:shd w:val="clear" w:color="auto" w:fill="auto"/>
            <w:vAlign w:val="center"/>
          </w:tcPr>
          <w:p w14:paraId="4F5183D3">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22</w:t>
            </w:r>
          </w:p>
        </w:tc>
        <w:tc>
          <w:tcPr>
            <w:tcW w:w="1124" w:type="pct"/>
            <w:shd w:val="clear" w:color="auto" w:fill="auto"/>
            <w:vAlign w:val="center"/>
          </w:tcPr>
          <w:p w14:paraId="3C679F48">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9</w:t>
            </w:r>
          </w:p>
        </w:tc>
        <w:tc>
          <w:tcPr>
            <w:tcW w:w="858" w:type="pct"/>
            <w:vAlign w:val="center"/>
          </w:tcPr>
          <w:p w14:paraId="23845FB6">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5</w:t>
            </w:r>
          </w:p>
        </w:tc>
        <w:tc>
          <w:tcPr>
            <w:tcW w:w="859" w:type="pct"/>
            <w:vAlign w:val="center"/>
          </w:tcPr>
          <w:p w14:paraId="137EBA68">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36</w:t>
            </w:r>
          </w:p>
        </w:tc>
      </w:tr>
      <w:tr w14:paraId="5FE4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14:paraId="6298E0B0">
            <w:pPr>
              <w:spacing w:after="160" w:line="276" w:lineRule="auto"/>
              <w:jc w:val="center"/>
              <w:rPr>
                <w:rFonts w:hint="eastAsia"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3</w:t>
            </w:r>
          </w:p>
        </w:tc>
        <w:tc>
          <w:tcPr>
            <w:tcW w:w="528" w:type="pct"/>
            <w:shd w:val="clear" w:color="auto" w:fill="auto"/>
            <w:vAlign w:val="center"/>
          </w:tcPr>
          <w:p w14:paraId="5E298A38">
            <w:pPr>
              <w:rPr>
                <w:rFonts w:ascii="宋体" w:hAnsi="宋体" w:eastAsia="宋体" w:cs="宋体"/>
                <w:kern w:val="0"/>
                <w:szCs w:val="21"/>
                <w14:ligatures w14:val="none"/>
              </w:rPr>
            </w:pPr>
            <w:r>
              <w:rPr>
                <w:rFonts w:hint="eastAsia" w:ascii="Times New Roman" w:hAnsi="Times New Roman" w:eastAsia="宋体" w:cs="Times New Roman"/>
                <w:sz w:val="18"/>
                <w:szCs w:val="18"/>
                <w:lang w:val="en-US" w:eastAsia="zh-CN"/>
              </w:rPr>
              <w:t>南安电信食堂</w:t>
            </w:r>
          </w:p>
        </w:tc>
        <w:tc>
          <w:tcPr>
            <w:tcW w:w="1070" w:type="pct"/>
            <w:shd w:val="clear" w:color="auto" w:fill="auto"/>
            <w:vAlign w:val="center"/>
          </w:tcPr>
          <w:p w14:paraId="334DE2DF">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18</w:t>
            </w:r>
          </w:p>
        </w:tc>
        <w:tc>
          <w:tcPr>
            <w:tcW w:w="1124" w:type="pct"/>
            <w:shd w:val="clear" w:color="auto" w:fill="auto"/>
            <w:vAlign w:val="center"/>
          </w:tcPr>
          <w:p w14:paraId="4C58A81F">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3</w:t>
            </w:r>
          </w:p>
        </w:tc>
        <w:tc>
          <w:tcPr>
            <w:tcW w:w="858" w:type="pct"/>
            <w:vAlign w:val="center"/>
          </w:tcPr>
          <w:p w14:paraId="1CFB3A36">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4</w:t>
            </w:r>
          </w:p>
        </w:tc>
        <w:tc>
          <w:tcPr>
            <w:tcW w:w="859" w:type="pct"/>
            <w:vAlign w:val="center"/>
          </w:tcPr>
          <w:p w14:paraId="57B50562">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25</w:t>
            </w:r>
          </w:p>
        </w:tc>
      </w:tr>
      <w:tr w14:paraId="71D7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14:paraId="1C906B56">
            <w:pPr>
              <w:spacing w:after="160" w:line="276" w:lineRule="auto"/>
              <w:jc w:val="center"/>
              <w:rPr>
                <w:rFonts w:hint="default" w:ascii="宋体" w:hAnsi="宋体" w:eastAsia="宋体" w:cs="宋体"/>
                <w:kern w:val="0"/>
                <w:szCs w:val="21"/>
                <w:highlight w:val="yellow"/>
                <w:lang w:val="en-US" w:eastAsia="zh-CN"/>
                <w14:ligatures w14:val="none"/>
              </w:rPr>
            </w:pPr>
            <w:r>
              <w:rPr>
                <w:rFonts w:hint="eastAsia" w:ascii="宋体" w:hAnsi="宋体" w:eastAsia="宋体" w:cs="宋体"/>
                <w:kern w:val="0"/>
                <w:szCs w:val="21"/>
                <w:highlight w:val="yellow"/>
                <w:lang w:val="en-US" w:eastAsia="zh-CN"/>
                <w14:ligatures w14:val="none"/>
              </w:rPr>
              <w:t>4</w:t>
            </w:r>
          </w:p>
        </w:tc>
        <w:tc>
          <w:tcPr>
            <w:tcW w:w="528" w:type="pct"/>
            <w:shd w:val="clear" w:color="auto" w:fill="auto"/>
            <w:vAlign w:val="center"/>
          </w:tcPr>
          <w:p w14:paraId="362A5861">
            <w:pPr>
              <w:spacing w:after="160" w:line="276" w:lineRule="auto"/>
              <w:jc w:val="center"/>
              <w:rPr>
                <w:rFonts w:ascii="宋体" w:hAnsi="宋体" w:eastAsia="宋体" w:cs="宋体"/>
                <w:kern w:val="0"/>
                <w:szCs w:val="21"/>
                <w:highlight w:val="yellow"/>
                <w14:ligatures w14:val="none"/>
              </w:rPr>
            </w:pPr>
            <w:r>
              <w:rPr>
                <w:rFonts w:hint="eastAsia" w:ascii="Times New Roman" w:eastAsia="宋体"/>
                <w:sz w:val="18"/>
                <w:szCs w:val="18"/>
                <w:highlight w:val="yellow"/>
                <w:lang w:val="en-US" w:eastAsia="zh-CN"/>
              </w:rPr>
              <w:t>惠安电信食堂</w:t>
            </w:r>
          </w:p>
        </w:tc>
        <w:tc>
          <w:tcPr>
            <w:tcW w:w="1070" w:type="pct"/>
            <w:shd w:val="clear" w:color="auto" w:fill="auto"/>
            <w:vAlign w:val="center"/>
          </w:tcPr>
          <w:p w14:paraId="07FF6482">
            <w:pPr>
              <w:widowControl/>
              <w:spacing w:after="160" w:line="276" w:lineRule="auto"/>
              <w:jc w:val="center"/>
              <w:rPr>
                <w:rFonts w:hint="default" w:ascii="宋体" w:hAnsi="宋体" w:eastAsia="宋体" w:cs="宋体"/>
                <w:kern w:val="0"/>
                <w:szCs w:val="21"/>
                <w:highlight w:val="yellow"/>
                <w:lang w:val="en-US" w:eastAsia="zh-CN"/>
                <w14:ligatures w14:val="none"/>
              </w:rPr>
            </w:pPr>
            <w:r>
              <w:rPr>
                <w:rFonts w:hint="eastAsia" w:ascii="宋体" w:hAnsi="宋体" w:eastAsia="宋体" w:cs="宋体"/>
                <w:kern w:val="0"/>
                <w:szCs w:val="21"/>
                <w:highlight w:val="yellow"/>
                <w:lang w:val="en-US" w:eastAsia="zh-CN"/>
                <w14:ligatures w14:val="none"/>
              </w:rPr>
              <w:t>35</w:t>
            </w:r>
          </w:p>
        </w:tc>
        <w:tc>
          <w:tcPr>
            <w:tcW w:w="1124" w:type="pct"/>
            <w:shd w:val="clear" w:color="auto" w:fill="auto"/>
            <w:vAlign w:val="center"/>
          </w:tcPr>
          <w:p w14:paraId="74431E59">
            <w:pPr>
              <w:widowControl/>
              <w:spacing w:after="160" w:line="276" w:lineRule="auto"/>
              <w:jc w:val="center"/>
              <w:rPr>
                <w:rFonts w:hint="eastAsia" w:ascii="宋体" w:hAnsi="宋体" w:eastAsia="宋体" w:cs="宋体"/>
                <w:kern w:val="0"/>
                <w:szCs w:val="21"/>
                <w:highlight w:val="yellow"/>
                <w:lang w:val="en-US" w:eastAsia="zh-CN"/>
                <w14:ligatures w14:val="none"/>
              </w:rPr>
            </w:pPr>
            <w:r>
              <w:rPr>
                <w:rFonts w:hint="eastAsia" w:ascii="宋体" w:hAnsi="宋体" w:eastAsia="宋体" w:cs="宋体"/>
                <w:kern w:val="0"/>
                <w:szCs w:val="21"/>
                <w:highlight w:val="yellow"/>
                <w:lang w:val="en-US" w:eastAsia="zh-CN"/>
                <w14:ligatures w14:val="none"/>
              </w:rPr>
              <w:t>9</w:t>
            </w:r>
          </w:p>
        </w:tc>
        <w:tc>
          <w:tcPr>
            <w:tcW w:w="858" w:type="pct"/>
            <w:vAlign w:val="center"/>
          </w:tcPr>
          <w:p w14:paraId="605EFD4E">
            <w:pPr>
              <w:widowControl/>
              <w:spacing w:after="160" w:line="276" w:lineRule="auto"/>
              <w:jc w:val="center"/>
              <w:rPr>
                <w:rFonts w:hint="eastAsia" w:ascii="宋体" w:hAnsi="宋体" w:eastAsia="宋体" w:cs="宋体"/>
                <w:kern w:val="0"/>
                <w:szCs w:val="21"/>
                <w:highlight w:val="yellow"/>
                <w:lang w:val="en-US" w:eastAsia="zh-CN"/>
                <w14:ligatures w14:val="none"/>
              </w:rPr>
            </w:pPr>
            <w:r>
              <w:rPr>
                <w:rFonts w:hint="eastAsia" w:ascii="宋体" w:hAnsi="宋体" w:eastAsia="宋体" w:cs="宋体"/>
                <w:kern w:val="0"/>
                <w:szCs w:val="21"/>
                <w:highlight w:val="yellow"/>
                <w:lang w:val="en-US" w:eastAsia="zh-CN"/>
                <w14:ligatures w14:val="none"/>
              </w:rPr>
              <w:t>5</w:t>
            </w:r>
          </w:p>
        </w:tc>
        <w:tc>
          <w:tcPr>
            <w:tcW w:w="859" w:type="pct"/>
            <w:vAlign w:val="center"/>
          </w:tcPr>
          <w:p w14:paraId="5B02060A">
            <w:pPr>
              <w:widowControl/>
              <w:spacing w:after="160" w:line="276" w:lineRule="auto"/>
              <w:jc w:val="center"/>
              <w:rPr>
                <w:rFonts w:hint="default" w:ascii="宋体" w:hAnsi="宋体" w:eastAsia="宋体" w:cs="宋体"/>
                <w:kern w:val="0"/>
                <w:szCs w:val="21"/>
                <w:highlight w:val="yellow"/>
                <w:lang w:val="en-US" w:eastAsia="zh-CN"/>
                <w14:ligatures w14:val="none"/>
              </w:rPr>
            </w:pPr>
            <w:r>
              <w:rPr>
                <w:rFonts w:hint="eastAsia" w:ascii="宋体" w:hAnsi="宋体" w:eastAsia="宋体" w:cs="宋体"/>
                <w:kern w:val="0"/>
                <w:szCs w:val="21"/>
                <w:highlight w:val="yellow"/>
                <w:lang w:val="en-US" w:eastAsia="zh-CN"/>
                <w14:ligatures w14:val="none"/>
              </w:rPr>
              <w:t>50</w:t>
            </w:r>
          </w:p>
        </w:tc>
      </w:tr>
      <w:tr w14:paraId="0361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14:paraId="461EF808">
            <w:pPr>
              <w:spacing w:after="160" w:line="276" w:lineRule="auto"/>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5</w:t>
            </w:r>
          </w:p>
        </w:tc>
        <w:tc>
          <w:tcPr>
            <w:tcW w:w="528" w:type="pct"/>
            <w:shd w:val="clear" w:color="auto" w:fill="auto"/>
            <w:vAlign w:val="center"/>
          </w:tcPr>
          <w:p w14:paraId="22536CE0">
            <w:pPr>
              <w:rPr>
                <w:rFonts w:ascii="宋体" w:hAnsi="宋体" w:eastAsia="宋体" w:cs="宋体"/>
                <w:kern w:val="0"/>
                <w:szCs w:val="21"/>
                <w14:ligatures w14:val="none"/>
              </w:rPr>
            </w:pPr>
            <w:r>
              <w:rPr>
                <w:rFonts w:hint="eastAsia" w:ascii="Times New Roman" w:hAnsi="Times New Roman" w:eastAsia="宋体" w:cs="Times New Roman"/>
                <w:sz w:val="18"/>
                <w:szCs w:val="18"/>
                <w:lang w:val="en-US" w:eastAsia="zh-CN"/>
              </w:rPr>
              <w:t>台商电信食堂</w:t>
            </w:r>
          </w:p>
        </w:tc>
        <w:tc>
          <w:tcPr>
            <w:tcW w:w="1070" w:type="pct"/>
            <w:shd w:val="clear" w:color="auto" w:fill="auto"/>
            <w:vAlign w:val="center"/>
          </w:tcPr>
          <w:p w14:paraId="5B7A2794">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16</w:t>
            </w:r>
          </w:p>
        </w:tc>
        <w:tc>
          <w:tcPr>
            <w:tcW w:w="1124" w:type="pct"/>
            <w:shd w:val="clear" w:color="auto" w:fill="auto"/>
            <w:vAlign w:val="center"/>
          </w:tcPr>
          <w:p w14:paraId="60848ABC">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4</w:t>
            </w:r>
          </w:p>
        </w:tc>
        <w:tc>
          <w:tcPr>
            <w:tcW w:w="858" w:type="pct"/>
            <w:vAlign w:val="center"/>
          </w:tcPr>
          <w:p w14:paraId="5D249FFE">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w:t>
            </w:r>
          </w:p>
        </w:tc>
        <w:tc>
          <w:tcPr>
            <w:tcW w:w="859" w:type="pct"/>
            <w:vAlign w:val="center"/>
          </w:tcPr>
          <w:p w14:paraId="600335FE">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22</w:t>
            </w:r>
          </w:p>
        </w:tc>
      </w:tr>
      <w:tr w14:paraId="0F73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14:paraId="2359903C">
            <w:pPr>
              <w:spacing w:after="160" w:line="276" w:lineRule="auto"/>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6</w:t>
            </w:r>
          </w:p>
        </w:tc>
        <w:tc>
          <w:tcPr>
            <w:tcW w:w="528" w:type="pct"/>
            <w:shd w:val="clear" w:color="auto" w:fill="auto"/>
            <w:vAlign w:val="center"/>
          </w:tcPr>
          <w:p w14:paraId="42549044">
            <w:pPr>
              <w:spacing w:after="160" w:line="276" w:lineRule="auto"/>
              <w:jc w:val="center"/>
              <w:rPr>
                <w:rFonts w:ascii="宋体" w:hAnsi="宋体" w:eastAsia="宋体" w:cs="宋体"/>
                <w:kern w:val="0"/>
                <w:szCs w:val="21"/>
                <w14:ligatures w14:val="none"/>
              </w:rPr>
            </w:pPr>
            <w:r>
              <w:rPr>
                <w:rFonts w:hint="eastAsia" w:ascii="宋体" w:hAnsi="宋体"/>
                <w:szCs w:val="21"/>
                <w:lang w:val="en-US" w:eastAsia="zh-CN"/>
              </w:rPr>
              <w:t>泉港电信</w:t>
            </w:r>
            <w:r>
              <w:rPr>
                <w:rFonts w:hint="eastAsia" w:ascii="宋体" w:hAnsi="宋体"/>
                <w:spacing w:val="2"/>
                <w:szCs w:val="21"/>
              </w:rPr>
              <w:t>食堂</w:t>
            </w:r>
          </w:p>
        </w:tc>
        <w:tc>
          <w:tcPr>
            <w:tcW w:w="1070" w:type="pct"/>
            <w:shd w:val="clear" w:color="auto" w:fill="auto"/>
            <w:vAlign w:val="center"/>
          </w:tcPr>
          <w:p w14:paraId="24D74727">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13</w:t>
            </w:r>
          </w:p>
        </w:tc>
        <w:tc>
          <w:tcPr>
            <w:tcW w:w="1124" w:type="pct"/>
            <w:shd w:val="clear" w:color="auto" w:fill="auto"/>
            <w:vAlign w:val="center"/>
          </w:tcPr>
          <w:p w14:paraId="556EBAA7">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6</w:t>
            </w:r>
          </w:p>
        </w:tc>
        <w:tc>
          <w:tcPr>
            <w:tcW w:w="858" w:type="pct"/>
            <w:vAlign w:val="center"/>
          </w:tcPr>
          <w:p w14:paraId="6A2F9CF2">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w:t>
            </w:r>
          </w:p>
        </w:tc>
        <w:tc>
          <w:tcPr>
            <w:tcW w:w="859" w:type="pct"/>
            <w:vAlign w:val="center"/>
          </w:tcPr>
          <w:p w14:paraId="6E46C2EB">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w:t>
            </w:r>
          </w:p>
        </w:tc>
      </w:tr>
      <w:tr w14:paraId="06F3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14:paraId="285F1361">
            <w:pPr>
              <w:spacing w:after="160" w:line="276" w:lineRule="auto"/>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7</w:t>
            </w:r>
          </w:p>
        </w:tc>
        <w:tc>
          <w:tcPr>
            <w:tcW w:w="528" w:type="pct"/>
            <w:shd w:val="clear" w:color="auto" w:fill="auto"/>
            <w:vAlign w:val="center"/>
          </w:tcPr>
          <w:p w14:paraId="04B331CA">
            <w:pPr>
              <w:spacing w:after="160" w:line="276" w:lineRule="auto"/>
              <w:jc w:val="center"/>
              <w:rPr>
                <w:rFonts w:ascii="宋体" w:hAnsi="宋体" w:eastAsia="宋体" w:cs="宋体"/>
                <w:kern w:val="0"/>
                <w:szCs w:val="21"/>
                <w14:ligatures w14:val="none"/>
              </w:rPr>
            </w:pPr>
            <w:r>
              <w:rPr>
                <w:rFonts w:hint="eastAsia" w:ascii="宋体" w:hAnsi="宋体"/>
                <w:szCs w:val="21"/>
                <w:lang w:val="en-US" w:eastAsia="zh-CN"/>
              </w:rPr>
              <w:t>安溪电信</w:t>
            </w:r>
            <w:r>
              <w:rPr>
                <w:rFonts w:hint="eastAsia" w:ascii="宋体" w:hAnsi="宋体"/>
                <w:spacing w:val="2"/>
                <w:szCs w:val="21"/>
              </w:rPr>
              <w:t>食堂</w:t>
            </w:r>
          </w:p>
        </w:tc>
        <w:tc>
          <w:tcPr>
            <w:tcW w:w="1070" w:type="pct"/>
            <w:shd w:val="clear" w:color="auto" w:fill="auto"/>
            <w:vAlign w:val="center"/>
          </w:tcPr>
          <w:p w14:paraId="2C014EEC">
            <w:pPr>
              <w:widowControl/>
              <w:spacing w:after="160" w:line="276" w:lineRule="auto"/>
              <w:jc w:val="center"/>
              <w:rPr>
                <w:rFonts w:hint="default"/>
                <w:lang w:val="en-US" w:eastAsia="zh-CN"/>
              </w:rPr>
            </w:pPr>
            <w:r>
              <w:rPr>
                <w:rFonts w:hint="eastAsia" w:ascii="宋体" w:hAnsi="宋体" w:eastAsia="宋体" w:cs="宋体"/>
                <w:kern w:val="0"/>
                <w:szCs w:val="21"/>
                <w:lang w:val="en-US" w:eastAsia="zh-CN"/>
                <w14:ligatures w14:val="none"/>
              </w:rPr>
              <w:t>20.83</w:t>
            </w:r>
          </w:p>
        </w:tc>
        <w:tc>
          <w:tcPr>
            <w:tcW w:w="1124" w:type="pct"/>
            <w:shd w:val="clear" w:color="auto" w:fill="auto"/>
            <w:vAlign w:val="center"/>
          </w:tcPr>
          <w:p w14:paraId="43587BDF">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3.96</w:t>
            </w:r>
          </w:p>
        </w:tc>
        <w:tc>
          <w:tcPr>
            <w:tcW w:w="858" w:type="pct"/>
            <w:vAlign w:val="center"/>
          </w:tcPr>
          <w:p w14:paraId="6D7CB6DF">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4.23</w:t>
            </w:r>
          </w:p>
        </w:tc>
        <w:tc>
          <w:tcPr>
            <w:tcW w:w="859" w:type="pct"/>
            <w:vAlign w:val="center"/>
          </w:tcPr>
          <w:p w14:paraId="43D65531">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29.02</w:t>
            </w:r>
          </w:p>
        </w:tc>
      </w:tr>
      <w:tr w14:paraId="5017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14:paraId="3BD57D19">
            <w:pPr>
              <w:spacing w:after="160" w:line="276" w:lineRule="auto"/>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8</w:t>
            </w:r>
          </w:p>
        </w:tc>
        <w:tc>
          <w:tcPr>
            <w:tcW w:w="528" w:type="pct"/>
            <w:shd w:val="clear" w:color="auto" w:fill="auto"/>
            <w:vAlign w:val="center"/>
          </w:tcPr>
          <w:p w14:paraId="5A302780">
            <w:pPr>
              <w:spacing w:after="160" w:line="276" w:lineRule="auto"/>
              <w:jc w:val="center"/>
              <w:rPr>
                <w:rFonts w:ascii="宋体" w:hAnsi="宋体" w:eastAsia="宋体" w:cs="宋体"/>
                <w:kern w:val="0"/>
                <w:szCs w:val="21"/>
                <w14:ligatures w14:val="none"/>
              </w:rPr>
            </w:pPr>
            <w:r>
              <w:rPr>
                <w:rFonts w:hint="eastAsia" w:ascii="宋体" w:hAnsi="宋体"/>
                <w:szCs w:val="21"/>
                <w:lang w:val="en-US" w:eastAsia="zh-CN"/>
              </w:rPr>
              <w:t>永春电信</w:t>
            </w:r>
            <w:r>
              <w:rPr>
                <w:rFonts w:hint="eastAsia" w:ascii="宋体" w:hAnsi="宋体"/>
                <w:spacing w:val="2"/>
                <w:szCs w:val="21"/>
              </w:rPr>
              <w:t>食堂</w:t>
            </w:r>
          </w:p>
        </w:tc>
        <w:tc>
          <w:tcPr>
            <w:tcW w:w="1070" w:type="pct"/>
            <w:shd w:val="clear" w:color="auto" w:fill="auto"/>
            <w:vAlign w:val="center"/>
          </w:tcPr>
          <w:p w14:paraId="58B5BDFF">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13</w:t>
            </w:r>
          </w:p>
        </w:tc>
        <w:tc>
          <w:tcPr>
            <w:tcW w:w="1124" w:type="pct"/>
            <w:shd w:val="clear" w:color="auto" w:fill="auto"/>
            <w:vAlign w:val="center"/>
          </w:tcPr>
          <w:p w14:paraId="12714411">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6</w:t>
            </w:r>
          </w:p>
        </w:tc>
        <w:tc>
          <w:tcPr>
            <w:tcW w:w="858" w:type="pct"/>
            <w:vAlign w:val="center"/>
          </w:tcPr>
          <w:p w14:paraId="3ECD5326">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w:t>
            </w:r>
          </w:p>
        </w:tc>
        <w:tc>
          <w:tcPr>
            <w:tcW w:w="859" w:type="pct"/>
            <w:vAlign w:val="center"/>
          </w:tcPr>
          <w:p w14:paraId="5F1A7135">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w:t>
            </w:r>
          </w:p>
        </w:tc>
      </w:tr>
      <w:tr w14:paraId="6329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14:paraId="63A3AF67">
            <w:pPr>
              <w:spacing w:after="160" w:line="276" w:lineRule="auto"/>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9</w:t>
            </w:r>
          </w:p>
        </w:tc>
        <w:tc>
          <w:tcPr>
            <w:tcW w:w="528" w:type="pct"/>
            <w:shd w:val="clear" w:color="auto" w:fill="auto"/>
            <w:vAlign w:val="center"/>
          </w:tcPr>
          <w:p w14:paraId="5AF14D8B">
            <w:pPr>
              <w:spacing w:after="160" w:line="276" w:lineRule="auto"/>
              <w:jc w:val="center"/>
              <w:rPr>
                <w:rFonts w:ascii="宋体" w:hAnsi="宋体" w:eastAsia="宋体" w:cs="宋体"/>
                <w:kern w:val="0"/>
                <w:szCs w:val="21"/>
                <w14:ligatures w14:val="none"/>
              </w:rPr>
            </w:pPr>
            <w:r>
              <w:rPr>
                <w:rFonts w:hint="eastAsia" w:ascii="宋体" w:hAnsi="宋体"/>
                <w:szCs w:val="21"/>
                <w:lang w:val="en-US" w:eastAsia="zh-CN"/>
              </w:rPr>
              <w:t>德化电信</w:t>
            </w:r>
            <w:r>
              <w:rPr>
                <w:rFonts w:hint="eastAsia" w:ascii="宋体" w:hAnsi="宋体"/>
                <w:spacing w:val="2"/>
                <w:szCs w:val="21"/>
              </w:rPr>
              <w:t>食堂</w:t>
            </w:r>
          </w:p>
        </w:tc>
        <w:tc>
          <w:tcPr>
            <w:tcW w:w="1070" w:type="pct"/>
            <w:shd w:val="clear" w:color="auto" w:fill="auto"/>
            <w:vAlign w:val="center"/>
          </w:tcPr>
          <w:p w14:paraId="10D4FCE9">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17.5</w:t>
            </w:r>
          </w:p>
        </w:tc>
        <w:tc>
          <w:tcPr>
            <w:tcW w:w="1124" w:type="pct"/>
            <w:shd w:val="clear" w:color="auto" w:fill="auto"/>
            <w:vAlign w:val="center"/>
          </w:tcPr>
          <w:p w14:paraId="69DD505B">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3</w:t>
            </w:r>
          </w:p>
        </w:tc>
        <w:tc>
          <w:tcPr>
            <w:tcW w:w="858" w:type="pct"/>
            <w:vAlign w:val="center"/>
          </w:tcPr>
          <w:p w14:paraId="1637B74E">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1.5</w:t>
            </w:r>
          </w:p>
        </w:tc>
        <w:tc>
          <w:tcPr>
            <w:tcW w:w="859" w:type="pct"/>
            <w:vAlign w:val="center"/>
          </w:tcPr>
          <w:p w14:paraId="29178B8D">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22</w:t>
            </w:r>
          </w:p>
        </w:tc>
      </w:tr>
    </w:tbl>
    <w:p w14:paraId="3015CB4D">
      <w:pPr>
        <w:spacing w:after="160" w:line="360" w:lineRule="auto"/>
        <w:ind w:firstLine="424" w:firstLineChars="202"/>
        <w:rPr>
          <w:rFonts w:hint="eastAsia" w:ascii="宋体" w:hAnsi="宋体" w:cs="宋体"/>
          <w:szCs w:val="21"/>
          <w:highlight w:val="cyan"/>
        </w:rPr>
      </w:pPr>
      <w:r>
        <w:rPr>
          <w:rFonts w:hint="eastAsia" w:ascii="宋体" w:hAnsi="宋体" w:cs="宋体"/>
          <w:szCs w:val="21"/>
          <w:highlight w:val="cyan"/>
        </w:rPr>
        <w:t>本项目允许投标人同时中标的最多</w:t>
      </w:r>
      <w:r>
        <w:rPr>
          <w:rFonts w:hint="eastAsia" w:ascii="宋体" w:hAnsi="宋体" w:cs="宋体"/>
          <w:szCs w:val="21"/>
          <w:highlight w:val="cyan"/>
          <w:lang w:val="en-US" w:eastAsia="zh-CN"/>
        </w:rPr>
        <w:t>标包</w:t>
      </w:r>
      <w:r>
        <w:rPr>
          <w:rFonts w:hint="eastAsia" w:ascii="宋体" w:hAnsi="宋体" w:cs="宋体"/>
          <w:szCs w:val="21"/>
          <w:highlight w:val="cyan"/>
        </w:rPr>
        <w:t>数为【</w:t>
      </w:r>
      <w:r>
        <w:rPr>
          <w:rFonts w:hint="eastAsia" w:ascii="宋体" w:hAnsi="宋体" w:cs="宋体"/>
          <w:szCs w:val="21"/>
          <w:highlight w:val="cyan"/>
          <w:lang w:val="en-US" w:eastAsia="zh-CN"/>
        </w:rPr>
        <w:t>5</w:t>
      </w:r>
      <w:r>
        <w:rPr>
          <w:rFonts w:hint="eastAsia" w:ascii="宋体" w:hAnsi="宋体" w:cs="宋体"/>
          <w:szCs w:val="21"/>
          <w:highlight w:val="cyan"/>
        </w:rPr>
        <w:t>】个</w:t>
      </w:r>
      <w:r>
        <w:rPr>
          <w:rFonts w:hint="eastAsia" w:ascii="宋体" w:hAnsi="宋体" w:cs="宋体"/>
          <w:szCs w:val="21"/>
          <w:highlight w:val="cyan"/>
          <w:lang w:eastAsia="zh-CN"/>
        </w:rPr>
        <w:t>，</w:t>
      </w:r>
      <w:r>
        <w:rPr>
          <w:rFonts w:hint="eastAsia" w:ascii="宋体" w:hAnsi="宋体" w:cs="宋体"/>
          <w:szCs w:val="21"/>
          <w:highlight w:val="yellow"/>
          <w:lang w:val="en-US" w:eastAsia="zh-CN"/>
        </w:rPr>
        <w:t xml:space="preserve">其中标包1-晋江电信食堂和标包4-惠安电信食堂已完成招标不在本次招标范围。 </w:t>
      </w:r>
    </w:p>
    <w:p w14:paraId="5E76F7EE">
      <w:pPr>
        <w:spacing w:after="160" w:line="360" w:lineRule="auto"/>
        <w:ind w:firstLine="424" w:firstLineChars="202"/>
      </w:pPr>
      <w:r>
        <w:rPr>
          <w:rFonts w:hint="eastAsia" w:ascii="宋体" w:hAnsi="宋体" w:cs="宋体"/>
          <w:szCs w:val="21"/>
          <w:highlight w:val="cyan"/>
        </w:rPr>
        <w:t>1.4本项目设置最高投标折扣限价，最高投标折扣限价为【（1）蔬菜农畜产品90%；（2） 水产，海产类90%；（3）食杂调味品类90%】，投标人投标报价高于最高投标折扣限价的，其投标将被否决。</w:t>
      </w:r>
    </w:p>
    <w:p w14:paraId="2D910564">
      <w:pPr>
        <w:adjustRightInd w:val="0"/>
        <w:snapToGrid w:val="0"/>
        <w:spacing w:line="440" w:lineRule="exact"/>
        <w:ind w:left="426"/>
        <w:rPr>
          <w:rFonts w:ascii="宋体" w:hAnsi="宋体"/>
          <w:szCs w:val="21"/>
        </w:rPr>
      </w:pPr>
      <w:r>
        <w:rPr>
          <w:rFonts w:hint="eastAsia" w:ascii="宋体" w:hAnsi="宋体" w:cs="宋体"/>
          <w:color w:val="000000"/>
          <w:kern w:val="0"/>
          <w:szCs w:val="21"/>
        </w:rPr>
        <w:t>★</w:t>
      </w:r>
      <w:r>
        <w:rPr>
          <w:rFonts w:hint="eastAsia" w:ascii="宋体" w:hAnsi="宋体"/>
          <w:szCs w:val="21"/>
        </w:rPr>
        <w:t>1</w:t>
      </w:r>
      <w:r>
        <w:rPr>
          <w:rFonts w:ascii="宋体" w:hAnsi="宋体"/>
          <w:szCs w:val="21"/>
        </w:rPr>
        <w:t>.</w:t>
      </w:r>
      <w:r>
        <w:rPr>
          <w:rFonts w:hint="eastAsia" w:ascii="宋体" w:hAnsi="宋体"/>
          <w:szCs w:val="21"/>
        </w:rPr>
        <w:t>5配送要求：</w:t>
      </w:r>
    </w:p>
    <w:p w14:paraId="512C897F">
      <w:pPr>
        <w:pStyle w:val="16"/>
        <w:numPr>
          <w:ilvl w:val="0"/>
          <w:numId w:val="1"/>
        </w:numPr>
        <w:adjustRightInd w:val="0"/>
        <w:snapToGrid w:val="0"/>
        <w:spacing w:line="440" w:lineRule="exact"/>
        <w:ind w:firstLine="422" w:firstLineChars="201"/>
        <w:rPr>
          <w:rFonts w:ascii="宋体" w:hAnsi="宋体"/>
          <w:szCs w:val="21"/>
        </w:rPr>
      </w:pPr>
      <w:r>
        <w:rPr>
          <w:rFonts w:hint="eastAsia" w:ascii="宋体" w:hAnsi="宋体"/>
          <w:szCs w:val="21"/>
        </w:rPr>
        <w:t>交货时间：</w:t>
      </w:r>
    </w:p>
    <w:p w14:paraId="1585B296">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标包1：</w:t>
      </w:r>
      <w:r>
        <w:rPr>
          <w:rFonts w:hint="eastAsia" w:ascii="宋体" w:hAnsi="宋体" w:cs="宋体"/>
          <w:szCs w:val="21"/>
          <w:lang w:val="en-US" w:eastAsia="zh-CN"/>
        </w:rPr>
        <w:t>晋江电信食堂</w:t>
      </w:r>
    </w:p>
    <w:p w14:paraId="309A72E1">
      <w:pPr>
        <w:adjustRightInd w:val="0"/>
        <w:snapToGrid w:val="0"/>
        <w:spacing w:line="360" w:lineRule="auto"/>
        <w:ind w:firstLine="420" w:firstLineChars="200"/>
        <w:rPr>
          <w:rFonts w:ascii="宋体" w:hAnsi="宋体"/>
          <w:szCs w:val="21"/>
        </w:rPr>
      </w:pPr>
      <w:r>
        <w:rPr>
          <w:rFonts w:hint="eastAsia" w:ascii="宋体" w:hAnsi="宋体"/>
          <w:szCs w:val="21"/>
          <w:lang w:eastAsia="zh-CN"/>
        </w:rPr>
        <w:t>按招标人要求每工作日固定上午8:00前配送到位，招标人临时加单的二次应急配送中标人应在45分钟内送达，应急配送每月至多五次（供应商需自行考虑该成本）</w:t>
      </w:r>
      <w:r>
        <w:rPr>
          <w:rFonts w:hint="eastAsia" w:ascii="宋体" w:hAnsi="宋体"/>
          <w:szCs w:val="21"/>
        </w:rPr>
        <w:t>；</w:t>
      </w:r>
    </w:p>
    <w:p w14:paraId="2E2435F8">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标包</w:t>
      </w:r>
      <w:r>
        <w:rPr>
          <w:rFonts w:hint="eastAsia" w:ascii="宋体" w:hAnsi="宋体" w:eastAsia="宋体" w:cs="宋体"/>
          <w:szCs w:val="21"/>
          <w:lang w:val="en-US" w:eastAsia="zh-CN"/>
        </w:rPr>
        <w:t>2</w:t>
      </w:r>
      <w:r>
        <w:rPr>
          <w:rFonts w:hint="eastAsia" w:ascii="宋体" w:hAnsi="宋体" w:eastAsia="宋体" w:cs="宋体"/>
          <w:szCs w:val="21"/>
        </w:rPr>
        <w:t>：</w:t>
      </w:r>
      <w:r>
        <w:rPr>
          <w:rFonts w:hint="eastAsia" w:ascii="宋体" w:hAnsi="宋体" w:eastAsia="宋体" w:cs="宋体"/>
          <w:szCs w:val="21"/>
          <w:lang w:val="en-US" w:eastAsia="zh-CN"/>
        </w:rPr>
        <w:t>石狮电信食堂</w:t>
      </w:r>
    </w:p>
    <w:p w14:paraId="3E1A9224">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按招标人要求每工作日固定上午8:00前配送到位，</w:t>
      </w:r>
      <w:r>
        <w:rPr>
          <w:rFonts w:hint="eastAsia" w:ascii="宋体" w:hAnsi="宋体" w:cs="Times New Roman"/>
          <w:szCs w:val="21"/>
          <w:lang w:eastAsia="zh-CN"/>
        </w:rPr>
        <w:t>招标人临时加单的二次应急配送中标人应在45分钟内送达，应急配送每月至多五次（供应商需自行考虑该成本）</w:t>
      </w:r>
      <w:r>
        <w:rPr>
          <w:rFonts w:hint="eastAsia" w:ascii="宋体" w:hAnsi="宋体" w:eastAsia="宋体" w:cs="Times New Roman"/>
          <w:szCs w:val="21"/>
        </w:rPr>
        <w:t>；</w:t>
      </w:r>
    </w:p>
    <w:p w14:paraId="74DA523E">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标包</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南安电信食堂</w:t>
      </w:r>
    </w:p>
    <w:p w14:paraId="0E2DB0A6">
      <w:pPr>
        <w:adjustRightInd w:val="0"/>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按招标人要求每工作日固定上午8:00前配送到位，</w:t>
      </w:r>
      <w:r>
        <w:rPr>
          <w:rFonts w:hint="eastAsia" w:ascii="宋体" w:hAnsi="宋体" w:cs="宋体"/>
          <w:kern w:val="2"/>
          <w:sz w:val="21"/>
          <w:szCs w:val="21"/>
          <w:lang w:val="en-US" w:eastAsia="zh-CN" w:bidi="ar-SA"/>
        </w:rPr>
        <w:t>招标人临时加单的二次应急配送中标人应在45分钟内送达，应急配送每月至多五次（供应商需自行考虑该成本）</w:t>
      </w:r>
      <w:r>
        <w:rPr>
          <w:rFonts w:hint="eastAsia" w:ascii="宋体" w:hAnsi="宋体" w:eastAsia="宋体" w:cs="宋体"/>
          <w:kern w:val="2"/>
          <w:sz w:val="21"/>
          <w:szCs w:val="21"/>
          <w:lang w:val="en-US" w:eastAsia="zh-CN" w:bidi="ar-SA"/>
        </w:rPr>
        <w:t>；</w:t>
      </w:r>
    </w:p>
    <w:p w14:paraId="32B3CF68">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标包</w:t>
      </w:r>
      <w:r>
        <w:rPr>
          <w:rFonts w:hint="eastAsia" w:ascii="宋体" w:hAnsi="宋体" w:eastAsia="宋体" w:cs="宋体"/>
          <w:szCs w:val="21"/>
          <w:lang w:val="en-US" w:eastAsia="zh-CN"/>
        </w:rPr>
        <w:t>4</w:t>
      </w:r>
      <w:r>
        <w:rPr>
          <w:rFonts w:hint="eastAsia" w:ascii="宋体" w:hAnsi="宋体" w:eastAsia="宋体" w:cs="宋体"/>
          <w:szCs w:val="21"/>
        </w:rPr>
        <w:t>：</w:t>
      </w:r>
      <w:r>
        <w:rPr>
          <w:rFonts w:hint="eastAsia" w:ascii="宋体" w:hAnsi="宋体" w:eastAsia="宋体" w:cs="宋体"/>
          <w:szCs w:val="21"/>
          <w:lang w:val="en-US" w:eastAsia="zh-CN"/>
        </w:rPr>
        <w:t>惠安电信食堂</w:t>
      </w:r>
    </w:p>
    <w:p w14:paraId="6168E991">
      <w:pPr>
        <w:adjustRightInd w:val="0"/>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按招标人要求每工作日固定上午8:00前配送到位，</w:t>
      </w:r>
      <w:r>
        <w:rPr>
          <w:rFonts w:hint="eastAsia" w:ascii="宋体" w:hAnsi="宋体" w:cs="宋体"/>
          <w:kern w:val="2"/>
          <w:sz w:val="21"/>
          <w:szCs w:val="21"/>
          <w:lang w:val="en-US" w:eastAsia="zh-CN" w:bidi="ar-SA"/>
        </w:rPr>
        <w:t>招标人临时加单的二次应急配送中标人应在45分钟内送达，应急配送每月至多五次（供应商需自行考虑该成本）</w:t>
      </w:r>
      <w:r>
        <w:rPr>
          <w:rFonts w:hint="eastAsia" w:ascii="宋体" w:hAnsi="宋体" w:eastAsia="宋体" w:cs="宋体"/>
          <w:kern w:val="2"/>
          <w:sz w:val="21"/>
          <w:szCs w:val="21"/>
          <w:lang w:val="en-US" w:eastAsia="zh-CN" w:bidi="ar-SA"/>
        </w:rPr>
        <w:t>；</w:t>
      </w:r>
    </w:p>
    <w:p w14:paraId="4EFBA63A">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标包</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台商电信食堂</w:t>
      </w:r>
    </w:p>
    <w:p w14:paraId="66F41B53">
      <w:pPr>
        <w:adjustRightInd w:val="0"/>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按招标人要求每工作日固定上午8:00前配送到位，</w:t>
      </w:r>
      <w:r>
        <w:rPr>
          <w:rFonts w:hint="eastAsia" w:ascii="宋体" w:hAnsi="宋体" w:cs="宋体"/>
          <w:kern w:val="2"/>
          <w:sz w:val="21"/>
          <w:szCs w:val="21"/>
          <w:lang w:val="en-US" w:eastAsia="zh-CN" w:bidi="ar-SA"/>
        </w:rPr>
        <w:t>招标人临时加单的二次应急配送中标人应在45分钟内送达，应急配送每月至多五次（供应商需自行考虑该成本）</w:t>
      </w:r>
      <w:r>
        <w:rPr>
          <w:rFonts w:hint="eastAsia" w:ascii="宋体" w:hAnsi="宋体" w:eastAsia="宋体" w:cs="宋体"/>
          <w:kern w:val="2"/>
          <w:sz w:val="21"/>
          <w:szCs w:val="21"/>
          <w:lang w:val="en-US" w:eastAsia="zh-CN" w:bidi="ar-SA"/>
        </w:rPr>
        <w:t>；</w:t>
      </w:r>
    </w:p>
    <w:p w14:paraId="1E39AFE0">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标包</w:t>
      </w:r>
      <w:r>
        <w:rPr>
          <w:rFonts w:hint="eastAsia" w:ascii="宋体" w:hAnsi="宋体" w:eastAsia="宋体" w:cs="宋体"/>
          <w:szCs w:val="21"/>
          <w:lang w:val="en-US" w:eastAsia="zh-CN"/>
        </w:rPr>
        <w:t>6</w:t>
      </w:r>
      <w:r>
        <w:rPr>
          <w:rFonts w:hint="eastAsia" w:ascii="宋体" w:hAnsi="宋体" w:eastAsia="宋体" w:cs="宋体"/>
          <w:szCs w:val="21"/>
        </w:rPr>
        <w:t>：</w:t>
      </w:r>
      <w:r>
        <w:rPr>
          <w:rFonts w:hint="eastAsia" w:ascii="宋体" w:hAnsi="宋体" w:eastAsia="宋体" w:cs="宋体"/>
          <w:szCs w:val="21"/>
          <w:lang w:val="en-US" w:eastAsia="zh-CN"/>
        </w:rPr>
        <w:t>泉港电信食堂</w:t>
      </w:r>
    </w:p>
    <w:p w14:paraId="2FBE5023">
      <w:pPr>
        <w:adjustRightInd w:val="0"/>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按招标人要求每工作日固定上午8:00前配送到位，</w:t>
      </w:r>
      <w:r>
        <w:rPr>
          <w:rFonts w:hint="eastAsia" w:ascii="宋体" w:hAnsi="宋体" w:cs="宋体"/>
          <w:kern w:val="2"/>
          <w:sz w:val="21"/>
          <w:szCs w:val="21"/>
          <w:lang w:val="en-US" w:eastAsia="zh-CN" w:bidi="ar-SA"/>
        </w:rPr>
        <w:t>招标人临时加单的二次应急配送中标人应在45分钟内送达，应急配送每月至多五次（供应商需自行考虑该成本）</w:t>
      </w:r>
      <w:r>
        <w:rPr>
          <w:rFonts w:hint="eastAsia" w:ascii="宋体" w:hAnsi="宋体" w:eastAsia="宋体" w:cs="宋体"/>
          <w:kern w:val="2"/>
          <w:sz w:val="21"/>
          <w:szCs w:val="21"/>
          <w:lang w:val="en-US" w:eastAsia="zh-CN" w:bidi="ar-SA"/>
        </w:rPr>
        <w:t>；</w:t>
      </w:r>
    </w:p>
    <w:p w14:paraId="7B2F2C31">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标包</w:t>
      </w:r>
      <w:r>
        <w:rPr>
          <w:rFonts w:hint="eastAsia" w:ascii="宋体" w:hAnsi="宋体" w:eastAsia="宋体" w:cs="宋体"/>
          <w:szCs w:val="21"/>
          <w:lang w:val="en-US" w:eastAsia="zh-CN"/>
        </w:rPr>
        <w:t>7</w:t>
      </w:r>
      <w:r>
        <w:rPr>
          <w:rFonts w:hint="eastAsia" w:ascii="宋体" w:hAnsi="宋体" w:eastAsia="宋体" w:cs="宋体"/>
          <w:szCs w:val="21"/>
        </w:rPr>
        <w:t>：</w:t>
      </w:r>
      <w:r>
        <w:rPr>
          <w:rFonts w:hint="eastAsia" w:ascii="宋体" w:hAnsi="宋体" w:eastAsia="宋体" w:cs="宋体"/>
          <w:szCs w:val="21"/>
          <w:lang w:val="en-US" w:eastAsia="zh-CN"/>
        </w:rPr>
        <w:t>安溪电信食堂</w:t>
      </w:r>
    </w:p>
    <w:p w14:paraId="72625803">
      <w:pPr>
        <w:adjustRightInd w:val="0"/>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按招标人要求每工作日固定上午8:00前配送到位，</w:t>
      </w:r>
      <w:r>
        <w:rPr>
          <w:rFonts w:hint="eastAsia" w:ascii="宋体" w:hAnsi="宋体" w:cs="宋体"/>
          <w:kern w:val="2"/>
          <w:sz w:val="21"/>
          <w:szCs w:val="21"/>
          <w:lang w:val="en-US" w:eastAsia="zh-CN" w:bidi="ar-SA"/>
        </w:rPr>
        <w:t>招标人临时加单的二次应急配送中标人应在45分钟内送达，应急配送每月至多五次（供应商需自行考虑该成本）</w:t>
      </w:r>
      <w:r>
        <w:rPr>
          <w:rFonts w:hint="eastAsia" w:ascii="宋体" w:hAnsi="宋体" w:eastAsia="宋体" w:cs="宋体"/>
          <w:kern w:val="2"/>
          <w:sz w:val="21"/>
          <w:szCs w:val="21"/>
          <w:lang w:val="en-US" w:eastAsia="zh-CN" w:bidi="ar-SA"/>
        </w:rPr>
        <w:t>；</w:t>
      </w:r>
    </w:p>
    <w:p w14:paraId="34C05CC4">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标包</w:t>
      </w:r>
      <w:r>
        <w:rPr>
          <w:rFonts w:hint="eastAsia" w:ascii="宋体" w:hAnsi="宋体" w:eastAsia="宋体" w:cs="宋体"/>
          <w:szCs w:val="21"/>
          <w:lang w:val="en-US" w:eastAsia="zh-CN"/>
        </w:rPr>
        <w:t>8</w:t>
      </w:r>
      <w:r>
        <w:rPr>
          <w:rFonts w:hint="eastAsia" w:ascii="宋体" w:hAnsi="宋体" w:eastAsia="宋体" w:cs="宋体"/>
          <w:szCs w:val="21"/>
        </w:rPr>
        <w:t>：</w:t>
      </w:r>
      <w:r>
        <w:rPr>
          <w:rFonts w:hint="eastAsia" w:ascii="宋体" w:hAnsi="宋体" w:eastAsia="宋体" w:cs="宋体"/>
          <w:szCs w:val="21"/>
          <w:lang w:val="en-US" w:eastAsia="zh-CN"/>
        </w:rPr>
        <w:t>永春电信食堂</w:t>
      </w:r>
    </w:p>
    <w:p w14:paraId="1E962D93">
      <w:pPr>
        <w:adjustRightInd w:val="0"/>
        <w:snapToGrid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按招标人要求每工作日固定上午8:00前配送到位，</w:t>
      </w:r>
      <w:r>
        <w:rPr>
          <w:rFonts w:hint="eastAsia" w:ascii="宋体" w:hAnsi="宋体" w:cs="宋体"/>
          <w:kern w:val="2"/>
          <w:sz w:val="21"/>
          <w:szCs w:val="21"/>
          <w:lang w:val="en-US" w:eastAsia="zh-CN" w:bidi="ar-SA"/>
        </w:rPr>
        <w:t>招标人临时加单的二次应急配送中标人应在45分钟内送达，应急配送每月至多五次（供应商需自行考虑该成本）</w:t>
      </w:r>
      <w:r>
        <w:rPr>
          <w:rFonts w:hint="eastAsia" w:ascii="宋体" w:hAnsi="宋体" w:eastAsia="宋体" w:cs="宋体"/>
          <w:kern w:val="2"/>
          <w:sz w:val="21"/>
          <w:szCs w:val="21"/>
          <w:lang w:val="en-US" w:eastAsia="zh-CN" w:bidi="ar-SA"/>
        </w:rPr>
        <w:t>；</w:t>
      </w:r>
    </w:p>
    <w:p w14:paraId="121FF73A">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标包</w:t>
      </w:r>
      <w:r>
        <w:rPr>
          <w:rFonts w:hint="eastAsia" w:ascii="宋体" w:hAnsi="宋体" w:eastAsia="宋体" w:cs="宋体"/>
          <w:szCs w:val="21"/>
          <w:lang w:val="en-US" w:eastAsia="zh-CN"/>
        </w:rPr>
        <w:t>9</w:t>
      </w:r>
      <w:r>
        <w:rPr>
          <w:rFonts w:hint="eastAsia" w:ascii="宋体" w:hAnsi="宋体" w:eastAsia="宋体" w:cs="宋体"/>
          <w:szCs w:val="21"/>
        </w:rPr>
        <w:t>：</w:t>
      </w:r>
      <w:r>
        <w:rPr>
          <w:rFonts w:hint="eastAsia" w:ascii="宋体" w:hAnsi="宋体" w:eastAsia="宋体" w:cs="宋体"/>
          <w:szCs w:val="21"/>
          <w:lang w:val="en-US" w:eastAsia="zh-CN"/>
        </w:rPr>
        <w:t>德化电信食堂</w:t>
      </w:r>
    </w:p>
    <w:p w14:paraId="5847AE5E">
      <w:pPr>
        <w:pStyle w:val="2"/>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按招标人要求每工作日固定上午8:00前配送到位，</w:t>
      </w:r>
      <w:r>
        <w:rPr>
          <w:rFonts w:hint="eastAsia" w:ascii="宋体" w:hAnsi="宋体" w:cs="宋体"/>
          <w:kern w:val="2"/>
          <w:sz w:val="21"/>
          <w:szCs w:val="21"/>
          <w:lang w:val="en-US" w:eastAsia="zh-CN" w:bidi="ar-SA"/>
        </w:rPr>
        <w:t>招标人临时加单的二次应急配送中标人应在45分钟内送达，应急配送每月至多五次（供应商需自行考虑该成本）</w:t>
      </w:r>
      <w:r>
        <w:rPr>
          <w:rFonts w:hint="eastAsia" w:ascii="宋体" w:hAnsi="宋体" w:eastAsia="宋体" w:cs="宋体"/>
          <w:kern w:val="2"/>
          <w:sz w:val="21"/>
          <w:szCs w:val="21"/>
          <w:lang w:val="en-US" w:eastAsia="zh-CN" w:bidi="ar-SA"/>
        </w:rPr>
        <w:t>；</w:t>
      </w:r>
    </w:p>
    <w:p w14:paraId="4346BDAD">
      <w:pPr>
        <w:pStyle w:val="16"/>
        <w:numPr>
          <w:ilvl w:val="0"/>
          <w:numId w:val="1"/>
        </w:numPr>
        <w:adjustRightInd w:val="0"/>
        <w:snapToGrid w:val="0"/>
        <w:spacing w:line="440" w:lineRule="exact"/>
        <w:ind w:firstLine="422" w:firstLineChars="201"/>
        <w:rPr>
          <w:rFonts w:ascii="宋体" w:hAnsi="宋体"/>
          <w:szCs w:val="21"/>
        </w:rPr>
      </w:pPr>
      <w:r>
        <w:rPr>
          <w:rFonts w:hint="eastAsia" w:ascii="宋体" w:hAnsi="宋体"/>
          <w:szCs w:val="21"/>
        </w:rPr>
        <w:t>中标供应商应具备相应的配送能力，包括提供本次配送服务的人员、设备及工具，各种所需费用均由中标供应商承担。中标供应商所投标的货物必须是符合相关质量标准，通过合法渠道获取。</w:t>
      </w:r>
    </w:p>
    <w:p w14:paraId="7E03A426">
      <w:pPr>
        <w:numPr>
          <w:ilvl w:val="0"/>
          <w:numId w:val="1"/>
        </w:numPr>
        <w:spacing w:after="160" w:line="360" w:lineRule="auto"/>
        <w:ind w:firstLine="422" w:firstLineChars="201"/>
        <w:rPr>
          <w:rFonts w:ascii="宋体" w:hAnsi="宋体" w:cs="宋体"/>
          <w:b/>
          <w:bCs/>
          <w:szCs w:val="21"/>
        </w:rPr>
      </w:pPr>
      <w:r>
        <w:rPr>
          <w:rFonts w:ascii="宋体" w:hAnsi="宋体"/>
          <w:szCs w:val="21"/>
        </w:rPr>
        <w:t>服务方式：由</w:t>
      </w:r>
      <w:r>
        <w:rPr>
          <w:rFonts w:hint="eastAsia" w:ascii="宋体" w:hAnsi="宋体"/>
          <w:szCs w:val="21"/>
        </w:rPr>
        <w:t>招标人</w:t>
      </w:r>
      <w:r>
        <w:rPr>
          <w:rFonts w:ascii="宋体" w:hAnsi="宋体"/>
          <w:szCs w:val="21"/>
        </w:rPr>
        <w:t>与</w:t>
      </w:r>
      <w:r>
        <w:rPr>
          <w:rFonts w:hint="eastAsia" w:ascii="宋体" w:hAnsi="宋体"/>
          <w:szCs w:val="21"/>
        </w:rPr>
        <w:t>中标</w:t>
      </w:r>
      <w:r>
        <w:rPr>
          <w:rFonts w:ascii="宋体" w:hAnsi="宋体"/>
          <w:szCs w:val="21"/>
        </w:rPr>
        <w:t>人签订承包合同，并实施日常考核监督管理。</w:t>
      </w:r>
      <w:r>
        <w:rPr>
          <w:rFonts w:hint="eastAsia" w:ascii="宋体" w:hAnsi="宋体"/>
          <w:szCs w:val="21"/>
        </w:rPr>
        <w:t>中标</w:t>
      </w:r>
      <w:r>
        <w:rPr>
          <w:rFonts w:ascii="宋体" w:hAnsi="宋体"/>
          <w:szCs w:val="21"/>
        </w:rPr>
        <w:t>人若将</w:t>
      </w:r>
      <w:r>
        <w:rPr>
          <w:rFonts w:hint="eastAsia" w:ascii="宋体" w:hAnsi="宋体"/>
          <w:szCs w:val="21"/>
        </w:rPr>
        <w:t>中标</w:t>
      </w:r>
      <w:r>
        <w:rPr>
          <w:rFonts w:ascii="宋体" w:hAnsi="宋体"/>
          <w:szCs w:val="21"/>
        </w:rPr>
        <w:t>项目转包或分包其他人</w:t>
      </w:r>
      <w:r>
        <w:rPr>
          <w:rFonts w:hint="eastAsia" w:ascii="宋体" w:hAnsi="宋体"/>
          <w:szCs w:val="21"/>
        </w:rPr>
        <w:t>或发生违约行为</w:t>
      </w:r>
      <w:r>
        <w:rPr>
          <w:rFonts w:ascii="宋体" w:hAnsi="宋体"/>
          <w:szCs w:val="21"/>
        </w:rPr>
        <w:t>或出现</w:t>
      </w:r>
      <w:r>
        <w:rPr>
          <w:rFonts w:hint="eastAsia" w:ascii="宋体" w:hAnsi="宋体"/>
          <w:szCs w:val="21"/>
        </w:rPr>
        <w:t>年度供应商评价</w:t>
      </w:r>
      <w:r>
        <w:rPr>
          <w:rFonts w:ascii="宋体" w:hAnsi="宋体"/>
          <w:szCs w:val="21"/>
        </w:rPr>
        <w:t>为不合格，</w:t>
      </w:r>
      <w:r>
        <w:rPr>
          <w:rFonts w:hint="eastAsia" w:ascii="宋体" w:hAnsi="宋体"/>
          <w:szCs w:val="21"/>
        </w:rPr>
        <w:t>招标人</w:t>
      </w:r>
      <w:r>
        <w:rPr>
          <w:rFonts w:ascii="宋体" w:hAnsi="宋体"/>
          <w:szCs w:val="21"/>
        </w:rPr>
        <w:t>有权终止合同的履行，履约保证金不予退回</w:t>
      </w:r>
      <w:r>
        <w:rPr>
          <w:rFonts w:hint="eastAsia" w:ascii="宋体" w:hAnsi="宋体"/>
          <w:szCs w:val="21"/>
        </w:rPr>
        <w:t>。</w:t>
      </w:r>
    </w:p>
    <w:p w14:paraId="459C54A2">
      <w:pPr>
        <w:pStyle w:val="4"/>
      </w:pPr>
      <w:r>
        <w:rPr>
          <w:rFonts w:hint="eastAsia" w:ascii="宋体" w:hAnsi="宋体"/>
          <w:b/>
          <w:szCs w:val="21"/>
        </w:rPr>
        <w:t>2.投标人资格要求（标包1至标包</w:t>
      </w:r>
      <w:r>
        <w:rPr>
          <w:rFonts w:hint="eastAsia" w:ascii="宋体" w:hAnsi="宋体"/>
          <w:b/>
          <w:szCs w:val="21"/>
          <w:lang w:val="en-US" w:eastAsia="zh-CN"/>
        </w:rPr>
        <w:t>9</w:t>
      </w:r>
      <w:r>
        <w:rPr>
          <w:rFonts w:hint="eastAsia" w:ascii="宋体" w:hAnsi="宋体"/>
          <w:b/>
          <w:szCs w:val="21"/>
        </w:rPr>
        <w:t>均采用此标准）</w:t>
      </w:r>
    </w:p>
    <w:p w14:paraId="0DCDCE70">
      <w:pPr>
        <w:adjustRightInd w:val="0"/>
        <w:snapToGrid w:val="0"/>
        <w:spacing w:line="360" w:lineRule="auto"/>
        <w:rPr>
          <w:rFonts w:ascii="宋体" w:hAnsi="宋体"/>
          <w:b/>
          <w:szCs w:val="21"/>
        </w:rPr>
      </w:pPr>
      <w:r>
        <w:rPr>
          <w:rFonts w:hint="eastAsia" w:ascii="宋体" w:hAnsi="宋体"/>
          <w:b/>
          <w:szCs w:val="21"/>
        </w:rPr>
        <w:t>2.1投标人基本资格要求</w:t>
      </w:r>
    </w:p>
    <w:p w14:paraId="565A617E">
      <w:pPr>
        <w:adjustRightInd w:val="0"/>
        <w:snapToGrid w:val="0"/>
        <w:spacing w:line="360" w:lineRule="auto"/>
        <w:ind w:firstLine="420" w:firstLineChars="200"/>
        <w:rPr>
          <w:rFonts w:ascii="宋体" w:hAnsi="宋体"/>
          <w:szCs w:val="21"/>
        </w:rPr>
      </w:pPr>
      <w:r>
        <w:rPr>
          <w:rFonts w:hint="eastAsia" w:ascii="宋体" w:hAnsi="宋体"/>
          <w:szCs w:val="21"/>
        </w:rPr>
        <w:t>2.1.1投标人应为中华人民共和国境内法律上和财务上独立的法人</w:t>
      </w:r>
      <w:r>
        <w:rPr>
          <w:rFonts w:hint="eastAsia" w:ascii="宋体" w:hAnsi="宋体"/>
          <w:szCs w:val="21"/>
          <w:highlight w:val="green"/>
        </w:rPr>
        <w:t>或依法登记注册的其他组织</w:t>
      </w:r>
      <w:r>
        <w:rPr>
          <w:rFonts w:hint="eastAsia" w:ascii="宋体" w:hAnsi="宋体"/>
          <w:szCs w:val="21"/>
        </w:rPr>
        <w:t>，合法运作并独立于招标人和招标代理机构。【法人下属不具备法人资格的分支机构参与投标的，应提供所属法人针对本项目或覆盖本项目的经营事项的有效授权。】</w:t>
      </w:r>
    </w:p>
    <w:p w14:paraId="4E4C5A42">
      <w:pPr>
        <w:tabs>
          <w:tab w:val="left" w:pos="993"/>
        </w:tabs>
        <w:adjustRightInd w:val="0"/>
        <w:snapToGrid w:val="0"/>
        <w:spacing w:line="360" w:lineRule="auto"/>
        <w:ind w:firstLine="420" w:firstLineChars="200"/>
        <w:rPr>
          <w:rFonts w:ascii="宋体" w:hAnsi="宋体"/>
          <w:szCs w:val="21"/>
        </w:rPr>
      </w:pPr>
      <w:r>
        <w:rPr>
          <w:rFonts w:hint="eastAsia" w:ascii="宋体" w:hAnsi="宋体"/>
          <w:szCs w:val="21"/>
        </w:rPr>
        <w:t>2.1.2投标人的法定代表人或负责人为同一人或者存在控股、管理关系的不同投标人，不得参加同一标包投标或者未划分标包的同一招标项目投标。</w:t>
      </w:r>
    </w:p>
    <w:p w14:paraId="2282E491">
      <w:pPr>
        <w:wordWrap w:val="0"/>
        <w:adjustRightInd w:val="0"/>
        <w:snapToGrid w:val="0"/>
        <w:spacing w:line="360" w:lineRule="auto"/>
        <w:ind w:firstLine="420" w:firstLineChars="200"/>
        <w:jc w:val="left"/>
        <w:rPr>
          <w:rFonts w:ascii="宋体" w:hAnsi="宋体" w:cs="宋体"/>
          <w:szCs w:val="21"/>
        </w:rPr>
      </w:pPr>
      <w:r>
        <w:rPr>
          <w:rFonts w:hint="eastAsia" w:ascii="宋体" w:hAnsi="宋体"/>
          <w:szCs w:val="21"/>
        </w:rPr>
        <w:t xml:space="preserve">2.1.3 </w:t>
      </w:r>
      <w:r>
        <w:rPr>
          <w:rFonts w:hint="eastAsia" w:ascii="宋体" w:hAnsi="宋体" w:cs="宋体"/>
          <w:szCs w:val="21"/>
        </w:rPr>
        <w:t>本次招标不接受联合体投标</w:t>
      </w:r>
      <w:r>
        <w:rPr>
          <w:rFonts w:hint="eastAsia" w:ascii="宋体" w:hAnsi="宋体"/>
          <w:szCs w:val="21"/>
          <w:highlight w:val="yellow"/>
        </w:rPr>
        <w:t>。</w:t>
      </w:r>
    </w:p>
    <w:p w14:paraId="0F14D299">
      <w:pPr>
        <w:spacing w:line="440" w:lineRule="exact"/>
        <w:ind w:firstLine="420" w:firstLineChars="200"/>
        <w:rPr>
          <w:rFonts w:ascii="宋体" w:hAnsi="宋体"/>
          <w:szCs w:val="21"/>
        </w:rPr>
      </w:pPr>
      <w:r>
        <w:rPr>
          <w:rFonts w:hint="eastAsia" w:ascii="宋体" w:hAnsi="宋体"/>
          <w:szCs w:val="21"/>
        </w:rPr>
        <w:t>2</w:t>
      </w:r>
      <w:r>
        <w:rPr>
          <w:rFonts w:ascii="宋体" w:hAnsi="宋体"/>
          <w:szCs w:val="21"/>
        </w:rPr>
        <w:t>.1.</w:t>
      </w:r>
      <w:r>
        <w:rPr>
          <w:rFonts w:hint="eastAsia" w:ascii="宋体" w:hAnsi="宋体"/>
          <w:szCs w:val="21"/>
        </w:rPr>
        <w:t>4投标人需具备有效的食品经营许可证。</w:t>
      </w:r>
    </w:p>
    <w:p w14:paraId="043F4697">
      <w:pPr>
        <w:tabs>
          <w:tab w:val="left" w:pos="993"/>
        </w:tabs>
        <w:adjustRightInd w:val="0"/>
        <w:snapToGrid w:val="0"/>
        <w:spacing w:line="440" w:lineRule="exact"/>
        <w:ind w:firstLine="420" w:firstLineChars="200"/>
        <w:rPr>
          <w:rFonts w:asciiTheme="minorEastAsia" w:hAnsiTheme="minorEastAsia" w:eastAsiaTheme="minorEastAsia"/>
          <w:szCs w:val="21"/>
        </w:rPr>
      </w:pPr>
      <w:r>
        <w:rPr>
          <w:rFonts w:hint="eastAsia" w:ascii="宋体" w:hAnsi="宋体"/>
          <w:szCs w:val="21"/>
        </w:rPr>
        <w:t>2</w:t>
      </w:r>
      <w:r>
        <w:rPr>
          <w:rFonts w:ascii="宋体" w:hAnsi="宋体"/>
          <w:szCs w:val="21"/>
        </w:rPr>
        <w:t>.1.</w:t>
      </w:r>
      <w:r>
        <w:rPr>
          <w:rFonts w:hint="eastAsia" w:ascii="宋体" w:hAnsi="宋体"/>
          <w:szCs w:val="21"/>
        </w:rPr>
        <w:t>5投标人需</w:t>
      </w:r>
      <w:r>
        <w:rPr>
          <w:rFonts w:hint="eastAsia" w:asciiTheme="minorEastAsia" w:hAnsiTheme="minorEastAsia" w:eastAsiaTheme="minorEastAsia"/>
          <w:b/>
          <w:szCs w:val="21"/>
        </w:rPr>
        <w:t>承诺</w:t>
      </w:r>
      <w:r>
        <w:rPr>
          <w:rFonts w:hint="eastAsia" w:asciiTheme="minorEastAsia" w:hAnsiTheme="minorEastAsia" w:eastAsiaTheme="minorEastAsia"/>
          <w:szCs w:val="21"/>
        </w:rPr>
        <w:t>：</w:t>
      </w:r>
    </w:p>
    <w:p w14:paraId="0D12E8D5">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（1）按招标人要求每工作日固定时间前配送到位等要求，并明确货品来源或进货渠道，供货时能一并提供国家税务规定的增值税发票；</w:t>
      </w:r>
    </w:p>
    <w:p w14:paraId="5593BB27">
      <w:pPr>
        <w:spacing w:line="440" w:lineRule="exact"/>
        <w:ind w:firstLine="420" w:firstLineChars="200"/>
        <w:rPr>
          <w:rFonts w:ascii="宋体" w:hAnsi="宋体"/>
          <w:szCs w:val="21"/>
        </w:rPr>
      </w:pPr>
      <w:r>
        <w:rPr>
          <w:rFonts w:hint="eastAsia" w:asciiTheme="minorEastAsia" w:hAnsiTheme="minorEastAsia" w:eastAsiaTheme="minorEastAsia"/>
          <w:szCs w:val="21"/>
        </w:rPr>
        <w:t>（2）禽蛋类应有《动物防疫条件合格证》的家禽养殖场、所供禽蛋应检疫合格（由于每种类产品批次证书不一样，投标仅需承诺，供货时需一并提供）；</w:t>
      </w:r>
    </w:p>
    <w:p w14:paraId="2926B1D2">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肉类产品应当有指定的地，可以溯源，各类畜禽应来自具有《定点屠宰许可证》的屠宰场，承诺提供屠宰场的《定点屠宰许可证》、每批次的产品相应具备县级以上动物卫生监督机构出具的《动物检疫检验合格证》（由于每种类产品批次证书不一样，投标仅需承诺，供货时需一并提供）</w:t>
      </w:r>
    </w:p>
    <w:p w14:paraId="503B9798">
      <w:pPr>
        <w:spacing w:line="440" w:lineRule="exact"/>
        <w:ind w:firstLine="630" w:firstLineChars="300"/>
        <w:rPr>
          <w:rFonts w:asciiTheme="minorEastAsia" w:hAnsiTheme="minorEastAsia" w:eastAsiaTheme="minorEastAsia"/>
          <w:szCs w:val="21"/>
        </w:rPr>
      </w:pPr>
      <w:r>
        <w:rPr>
          <w:rFonts w:asciiTheme="minorEastAsia" w:hAnsiTheme="minorEastAsia" w:eastAsiaTheme="minorEastAsia"/>
          <w:szCs w:val="21"/>
        </w:rPr>
        <w:t>2.1.</w:t>
      </w:r>
      <w:r>
        <w:rPr>
          <w:rFonts w:hint="eastAsia" w:asciiTheme="minorEastAsia" w:hAnsiTheme="minorEastAsia" w:eastAsiaTheme="minorEastAsia"/>
          <w:szCs w:val="21"/>
        </w:rPr>
        <w:t>6 按照《中华人民共和国农产品质量安全法》规定，招标人须对产品自行或者委托检测机构对产品质量安全状况进行检测（若自行检测，投标时需提供自行检测的承诺书；若委托检测机构检测，</w:t>
      </w:r>
      <w:r>
        <w:rPr>
          <w:rFonts w:asciiTheme="minorEastAsia" w:hAnsiTheme="minorEastAsia" w:eastAsiaTheme="minorEastAsia"/>
          <w:szCs w:val="21"/>
        </w:rPr>
        <w:t>委托检测机构检测的需提供</w:t>
      </w:r>
      <w:r>
        <w:rPr>
          <w:rFonts w:hint="eastAsia" w:asciiTheme="minorEastAsia" w:hAnsiTheme="minorEastAsia" w:eastAsiaTheme="minorEastAsia"/>
          <w:szCs w:val="21"/>
        </w:rPr>
        <w:t>投标</w:t>
      </w:r>
      <w:r>
        <w:rPr>
          <w:rFonts w:asciiTheme="minorEastAsia" w:hAnsiTheme="minorEastAsia" w:eastAsiaTheme="minorEastAsia"/>
          <w:szCs w:val="21"/>
        </w:rPr>
        <w:t>人与被委托检测机构签订的委托合同（协议），并且需提供被委托检测机构具备检测资格的证明文件</w:t>
      </w:r>
      <w:r>
        <w:rPr>
          <w:rFonts w:hint="eastAsia" w:asciiTheme="minorEastAsia" w:hAnsiTheme="minorEastAsia" w:eastAsiaTheme="minorEastAsia"/>
          <w:szCs w:val="21"/>
        </w:rPr>
        <w:t>）。</w:t>
      </w:r>
    </w:p>
    <w:p w14:paraId="0E429187">
      <w:pPr>
        <w:tabs>
          <w:tab w:val="left" w:pos="993"/>
        </w:tabs>
        <w:spacing w:line="440" w:lineRule="exact"/>
        <w:ind w:firstLine="632" w:firstLineChars="301"/>
      </w:pPr>
      <w:r>
        <w:rPr>
          <w:rFonts w:hint="eastAsia" w:asciiTheme="minorEastAsia" w:hAnsiTheme="minorEastAsia" w:eastAsiaTheme="minorEastAsia"/>
          <w:szCs w:val="21"/>
        </w:rPr>
        <w:t xml:space="preserve">2.1.7 </w:t>
      </w:r>
      <w:r>
        <w:rPr>
          <w:rFonts w:hint="eastAsia" w:ascii="宋体" w:hAnsi="宋体" w:cs="宋体"/>
          <w:szCs w:val="21"/>
        </w:rPr>
        <w:t>投标人提供【2022年1月1日】至招标公告发出之前(不包含公告当天)【1份】同类项目业绩【同类项目指食堂食材供应的相关经验】，单份合同金额≥【10】万元。</w:t>
      </w:r>
    </w:p>
    <w:p w14:paraId="348A1612">
      <w:pPr>
        <w:adjustRightInd w:val="0"/>
        <w:snapToGrid w:val="0"/>
        <w:spacing w:line="360" w:lineRule="auto"/>
        <w:rPr>
          <w:rFonts w:ascii="宋体" w:hAnsi="宋体"/>
          <w:b/>
          <w:szCs w:val="21"/>
        </w:rPr>
      </w:pPr>
      <w:r>
        <w:rPr>
          <w:rFonts w:hint="eastAsia" w:ascii="宋体" w:hAnsi="宋体"/>
          <w:b/>
          <w:szCs w:val="21"/>
        </w:rPr>
        <w:t>2.2投标人不得存在下列情形之一</w:t>
      </w:r>
    </w:p>
    <w:p w14:paraId="77045343">
      <w:pPr>
        <w:adjustRightInd w:val="0"/>
        <w:snapToGrid w:val="0"/>
        <w:spacing w:line="360" w:lineRule="auto"/>
        <w:ind w:firstLine="420" w:firstLineChars="200"/>
        <w:rPr>
          <w:rFonts w:ascii="宋体" w:hAnsi="宋体" w:cs="宋体"/>
          <w:szCs w:val="21"/>
        </w:rPr>
      </w:pPr>
      <w:r>
        <w:rPr>
          <w:rFonts w:hint="eastAsia" w:ascii="宋体" w:hAnsi="宋体" w:cs="宋体"/>
          <w:szCs w:val="21"/>
        </w:rPr>
        <w:t>（1）为招标人不具有独立法人资格的附属机构（单位）；</w:t>
      </w:r>
    </w:p>
    <w:p w14:paraId="45856228">
      <w:pPr>
        <w:adjustRightInd w:val="0"/>
        <w:snapToGrid w:val="0"/>
        <w:spacing w:line="360" w:lineRule="auto"/>
        <w:ind w:firstLine="420" w:firstLineChars="200"/>
        <w:rPr>
          <w:rFonts w:ascii="宋体" w:hAnsi="宋体"/>
          <w:szCs w:val="21"/>
        </w:rPr>
      </w:pPr>
      <w:r>
        <w:rPr>
          <w:rFonts w:hint="eastAsia" w:ascii="宋体" w:hAnsi="宋体"/>
          <w:szCs w:val="21"/>
        </w:rPr>
        <w:t>（2）被依法暂停或取消投标资格的；</w:t>
      </w:r>
    </w:p>
    <w:p w14:paraId="7218ED0D">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（3）被责令停产停业、暂扣或者吊销许可证、暂扣或者吊销执照； </w:t>
      </w:r>
    </w:p>
    <w:p w14:paraId="706A1971">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（4）进入清算程序，或被宣告破产，或其他丧失履约能力的情形； </w:t>
      </w:r>
    </w:p>
    <w:p w14:paraId="2194549F">
      <w:pPr>
        <w:adjustRightInd w:val="0"/>
        <w:snapToGrid w:val="0"/>
        <w:spacing w:line="360" w:lineRule="auto"/>
        <w:ind w:firstLine="420" w:firstLineChars="200"/>
        <w:rPr>
          <w:rFonts w:ascii="宋体" w:hAnsi="宋体" w:cs="宋体"/>
          <w:szCs w:val="21"/>
        </w:rPr>
      </w:pPr>
      <w:r>
        <w:rPr>
          <w:rFonts w:hint="eastAsia" w:ascii="宋体" w:hAnsi="宋体" w:cs="宋体"/>
          <w:szCs w:val="21"/>
        </w:rPr>
        <w:t>（5）在最近三年内（自20</w:t>
      </w:r>
      <w:r>
        <w:rPr>
          <w:rFonts w:hint="eastAsia" w:ascii="宋体" w:hAnsi="宋体" w:cs="宋体"/>
          <w:szCs w:val="21"/>
          <w:lang w:val="en-US" w:eastAsia="zh-CN"/>
        </w:rPr>
        <w:t>22</w:t>
      </w:r>
      <w:r>
        <w:rPr>
          <w:rFonts w:hint="eastAsia" w:ascii="宋体" w:hAnsi="宋体" w:cs="宋体"/>
          <w:szCs w:val="21"/>
        </w:rPr>
        <w:t>年起，月日以投标截止时间的月日为准）被相关行业主管部门或司法机关认定有骗取中标、严重违约、重大工程质量或者安全问题的；</w:t>
      </w:r>
    </w:p>
    <w:p w14:paraId="6F0B3353">
      <w:pPr>
        <w:adjustRightInd w:val="0"/>
        <w:snapToGrid w:val="0"/>
        <w:spacing w:line="360" w:lineRule="auto"/>
        <w:ind w:firstLine="420" w:firstLineChars="200"/>
        <w:rPr>
          <w:rFonts w:ascii="宋体" w:hAnsi="宋体" w:cs="宋体"/>
          <w:szCs w:val="21"/>
        </w:rPr>
      </w:pPr>
      <w:r>
        <w:rPr>
          <w:rFonts w:hint="eastAsia" w:ascii="宋体" w:hAnsi="宋体" w:cs="宋体"/>
          <w:szCs w:val="21"/>
        </w:rPr>
        <w:t>（6）在最近五年内（自20</w:t>
      </w:r>
      <w:r>
        <w:rPr>
          <w:rFonts w:hint="eastAsia" w:ascii="宋体" w:hAnsi="宋体" w:cs="宋体"/>
          <w:szCs w:val="21"/>
          <w:lang w:val="en-US" w:eastAsia="zh-CN"/>
        </w:rPr>
        <w:t>20</w:t>
      </w:r>
      <w:r>
        <w:rPr>
          <w:rFonts w:hint="eastAsia" w:ascii="宋体" w:hAnsi="宋体" w:cs="宋体"/>
          <w:szCs w:val="21"/>
        </w:rPr>
        <w:t>年起，月日以投标截止时间的月日为准）被判处单位行贿罪，且行贿行为与采购活动相关的（以“中国裁判文书网”的生效判决为准）；</w:t>
      </w:r>
    </w:p>
    <w:p w14:paraId="1AED8047">
      <w:pPr>
        <w:adjustRightInd w:val="0"/>
        <w:snapToGrid w:val="0"/>
        <w:spacing w:line="360" w:lineRule="auto"/>
        <w:ind w:firstLine="420" w:firstLineChars="200"/>
        <w:rPr>
          <w:rFonts w:ascii="宋体" w:hAnsi="宋体" w:cs="宋体"/>
          <w:szCs w:val="21"/>
        </w:rPr>
      </w:pPr>
      <w:r>
        <w:rPr>
          <w:rFonts w:hint="eastAsia" w:ascii="宋体" w:hAnsi="宋体" w:cs="宋体"/>
          <w:szCs w:val="21"/>
        </w:rPr>
        <w:t>（7）在最近五年内（自20</w:t>
      </w:r>
      <w:r>
        <w:rPr>
          <w:rFonts w:hint="eastAsia" w:ascii="宋体" w:hAnsi="宋体" w:cs="宋体"/>
          <w:szCs w:val="21"/>
          <w:lang w:val="en-US" w:eastAsia="zh-CN"/>
        </w:rPr>
        <w:t>20</w:t>
      </w:r>
      <w:r>
        <w:rPr>
          <w:rFonts w:hint="eastAsia" w:ascii="宋体" w:hAnsi="宋体" w:cs="宋体"/>
          <w:szCs w:val="21"/>
        </w:rPr>
        <w:t>年起，月日以投标截止时间的月日为准）被判处合同诈骗罪的（以“中国裁判文书网”的生效判决为准）；</w:t>
      </w:r>
    </w:p>
    <w:p w14:paraId="3062D487">
      <w:pPr>
        <w:adjustRightInd w:val="0"/>
        <w:snapToGrid w:val="0"/>
        <w:spacing w:line="360" w:lineRule="auto"/>
        <w:ind w:firstLine="420" w:firstLineChars="200"/>
        <w:rPr>
          <w:rFonts w:ascii="宋体" w:hAnsi="宋体" w:cs="宋体"/>
          <w:szCs w:val="21"/>
        </w:rPr>
      </w:pPr>
      <w:r>
        <w:rPr>
          <w:rFonts w:hint="eastAsia" w:ascii="宋体" w:hAnsi="宋体" w:cs="宋体"/>
          <w:szCs w:val="21"/>
        </w:rPr>
        <w:t>（8）被最高人民法院在“信用中国”网站（www.creditchina.gov.cn）或各级信用信息共享平台中列入失信被执行人名单，已执行完毕或不再执行的除外；</w:t>
      </w:r>
    </w:p>
    <w:p w14:paraId="0D7DE506">
      <w:pPr>
        <w:adjustRightInd w:val="0"/>
        <w:snapToGrid w:val="0"/>
        <w:spacing w:line="360" w:lineRule="auto"/>
        <w:ind w:firstLine="420" w:firstLineChars="200"/>
        <w:rPr>
          <w:rFonts w:ascii="宋体" w:hAnsi="宋体" w:cs="宋体"/>
          <w:szCs w:val="21"/>
        </w:rPr>
      </w:pPr>
      <w:r>
        <w:rPr>
          <w:rFonts w:hint="eastAsia" w:ascii="宋体" w:hAnsi="宋体" w:cs="宋体"/>
          <w:szCs w:val="21"/>
        </w:rPr>
        <w:t>（9）为本招标项目提供过设计、编制技术规范和其他文件的咨询服务；</w:t>
      </w:r>
    </w:p>
    <w:p w14:paraId="6F27B2FA">
      <w:pPr>
        <w:adjustRightInd w:val="0"/>
        <w:snapToGrid w:val="0"/>
        <w:spacing w:line="360" w:lineRule="auto"/>
        <w:ind w:firstLine="420" w:firstLineChars="200"/>
        <w:rPr>
          <w:rFonts w:ascii="宋体" w:hAnsi="宋体" w:cs="宋体"/>
          <w:szCs w:val="21"/>
        </w:rPr>
      </w:pPr>
      <w:r>
        <w:rPr>
          <w:rFonts w:hint="eastAsia" w:ascii="宋体" w:hAnsi="宋体" w:cs="宋体"/>
          <w:szCs w:val="21"/>
        </w:rPr>
        <w:t>（10）为本工程项目的相关监理人，或者与本工程项目的相关监理人存在隶属关系或者其他利害关系；</w:t>
      </w:r>
    </w:p>
    <w:p w14:paraId="19415B71">
      <w:pPr>
        <w:adjustRightInd w:val="0"/>
        <w:snapToGrid w:val="0"/>
        <w:spacing w:line="360" w:lineRule="auto"/>
        <w:ind w:firstLine="420" w:firstLineChars="200"/>
        <w:rPr>
          <w:rFonts w:ascii="宋体" w:hAnsi="宋体" w:cs="宋体"/>
          <w:szCs w:val="21"/>
        </w:rPr>
      </w:pPr>
      <w:r>
        <w:rPr>
          <w:rFonts w:hint="eastAsia" w:ascii="宋体" w:hAnsi="宋体" w:cs="宋体"/>
          <w:szCs w:val="21"/>
        </w:rPr>
        <w:t>（11）为本招标项目的代建人；</w:t>
      </w:r>
    </w:p>
    <w:p w14:paraId="5AB959D1">
      <w:pPr>
        <w:adjustRightInd w:val="0"/>
        <w:snapToGrid w:val="0"/>
        <w:spacing w:line="360" w:lineRule="auto"/>
        <w:ind w:firstLine="420" w:firstLineChars="200"/>
        <w:rPr>
          <w:rFonts w:ascii="宋体" w:hAnsi="宋体" w:cs="宋体"/>
          <w:szCs w:val="21"/>
        </w:rPr>
      </w:pPr>
      <w:r>
        <w:rPr>
          <w:rFonts w:hint="eastAsia" w:ascii="宋体" w:hAnsi="宋体" w:cs="宋体"/>
          <w:szCs w:val="21"/>
        </w:rPr>
        <w:t>（12）为本招标项目的招标代理机构；</w:t>
      </w:r>
    </w:p>
    <w:p w14:paraId="55DFCF65">
      <w:pPr>
        <w:adjustRightInd w:val="0"/>
        <w:snapToGrid w:val="0"/>
        <w:spacing w:line="360" w:lineRule="auto"/>
        <w:ind w:firstLine="420" w:firstLineChars="200"/>
        <w:rPr>
          <w:rFonts w:ascii="宋体" w:hAnsi="宋体" w:cs="宋体"/>
          <w:szCs w:val="21"/>
        </w:rPr>
      </w:pPr>
      <w:r>
        <w:rPr>
          <w:rFonts w:hint="eastAsia" w:ascii="宋体" w:hAnsi="宋体" w:cs="宋体"/>
          <w:szCs w:val="21"/>
        </w:rPr>
        <w:t>（13）与本招标项目的监理人或代建人或招标代理机构同为一个法定代表人；</w:t>
      </w:r>
    </w:p>
    <w:p w14:paraId="43ACBB70">
      <w:pPr>
        <w:adjustRightInd w:val="0"/>
        <w:snapToGrid w:val="0"/>
        <w:spacing w:line="360" w:lineRule="auto"/>
        <w:ind w:firstLine="420" w:firstLineChars="200"/>
        <w:rPr>
          <w:rFonts w:ascii="宋体" w:hAnsi="宋体" w:cs="宋体"/>
          <w:szCs w:val="21"/>
        </w:rPr>
      </w:pPr>
      <w:r>
        <w:rPr>
          <w:rFonts w:hint="eastAsia" w:ascii="宋体" w:hAnsi="宋体" w:cs="宋体"/>
          <w:szCs w:val="21"/>
        </w:rPr>
        <w:t>（14）与本招标项目的监理人或代建人或招标代理机构存在控股或参股关系；</w:t>
      </w:r>
    </w:p>
    <w:p w14:paraId="3060B091">
      <w:pPr>
        <w:adjustRightInd w:val="0"/>
        <w:snapToGrid w:val="0"/>
        <w:spacing w:line="360" w:lineRule="auto"/>
        <w:ind w:firstLine="420" w:firstLineChars="200"/>
        <w:rPr>
          <w:rFonts w:ascii="宋体" w:hAnsi="宋体" w:cs="宋体"/>
          <w:szCs w:val="21"/>
        </w:rPr>
      </w:pPr>
      <w:r>
        <w:rPr>
          <w:rFonts w:hint="eastAsia" w:ascii="宋体" w:hAnsi="宋体" w:cs="宋体"/>
          <w:szCs w:val="21"/>
        </w:rPr>
        <w:t>（15）被工商行政管理机关在国家企业信用信息公示系统中列入严重违法失信企业名单的；</w:t>
      </w:r>
    </w:p>
    <w:p w14:paraId="019B8540">
      <w:pPr>
        <w:adjustRightInd w:val="0"/>
        <w:snapToGrid w:val="0"/>
        <w:spacing w:line="360" w:lineRule="auto"/>
        <w:ind w:firstLine="420" w:firstLineChars="200"/>
        <w:rPr>
          <w:rFonts w:ascii="宋体" w:hAnsi="宋体" w:cs="宋体"/>
          <w:szCs w:val="21"/>
        </w:rPr>
      </w:pPr>
      <w:r>
        <w:rPr>
          <w:rFonts w:hint="eastAsia" w:ascii="宋体" w:hAnsi="宋体" w:cs="宋体"/>
          <w:szCs w:val="21"/>
        </w:rPr>
        <w:t>（16）法律法规、招标文件限定的其他情形。</w:t>
      </w:r>
    </w:p>
    <w:p w14:paraId="6466CDB6">
      <w:pPr>
        <w:adjustRightInd w:val="0"/>
        <w:snapToGrid w:val="0"/>
        <w:spacing w:line="360" w:lineRule="auto"/>
        <w:ind w:firstLine="420" w:firstLineChars="200"/>
        <w:rPr>
          <w:rFonts w:ascii="宋体" w:hAnsi="宋体" w:cs="宋体"/>
          <w:szCs w:val="21"/>
        </w:rPr>
      </w:pPr>
      <w:r>
        <w:rPr>
          <w:rFonts w:hint="eastAsia" w:ascii="宋体" w:hAnsi="宋体"/>
          <w:highlight w:val="yellow"/>
        </w:rPr>
        <w:t>（17）</w:t>
      </w:r>
      <w:r>
        <w:rPr>
          <w:rFonts w:hint="eastAsia" w:ascii="宋体" w:hAnsi="宋体"/>
          <w:szCs w:val="21"/>
          <w:highlight w:val="yellow"/>
        </w:rPr>
        <w:t>根据福建省邮电物业管理有限公司泉州分公司出具的《202</w:t>
      </w:r>
      <w:r>
        <w:rPr>
          <w:rFonts w:hint="eastAsia" w:ascii="宋体" w:hAnsi="宋体"/>
          <w:szCs w:val="21"/>
          <w:highlight w:val="yellow"/>
          <w:lang w:val="en-US" w:eastAsia="zh-CN"/>
        </w:rPr>
        <w:t>2-2024</w:t>
      </w:r>
      <w:r>
        <w:rPr>
          <w:rFonts w:hint="eastAsia" w:ascii="宋体" w:hAnsi="宋体"/>
          <w:szCs w:val="21"/>
          <w:highlight w:val="yellow"/>
        </w:rPr>
        <w:t>年泉州市邮电物业公司食堂食材供应商后评估表（年）》考核分数低于90分的。</w:t>
      </w:r>
    </w:p>
    <w:p w14:paraId="071847FA">
      <w:pPr>
        <w:adjustRightInd w:val="0"/>
        <w:snapToGrid w:val="0"/>
        <w:spacing w:line="360" w:lineRule="auto"/>
        <w:rPr>
          <w:rFonts w:ascii="宋体" w:hAnsi="宋体"/>
          <w:b/>
          <w:szCs w:val="21"/>
        </w:rPr>
      </w:pPr>
      <w:r>
        <w:rPr>
          <w:rFonts w:hint="eastAsia" w:ascii="宋体" w:hAnsi="宋体"/>
          <w:b/>
          <w:szCs w:val="21"/>
        </w:rPr>
        <w:t>3.资格审查方法</w:t>
      </w:r>
    </w:p>
    <w:p w14:paraId="61265AB8">
      <w:pPr>
        <w:adjustRightInd w:val="0"/>
        <w:snapToGrid w:val="0"/>
        <w:spacing w:line="360" w:lineRule="auto"/>
        <w:ind w:firstLine="420" w:firstLineChars="200"/>
        <w:rPr>
          <w:rFonts w:ascii="宋体" w:hAnsi="宋体"/>
          <w:szCs w:val="21"/>
        </w:rPr>
      </w:pPr>
      <w:r>
        <w:rPr>
          <w:rFonts w:hint="eastAsia" w:ascii="宋体" w:hAnsi="宋体"/>
          <w:szCs w:val="21"/>
        </w:rPr>
        <w:t>本项目将进行资格后审，资格审查标准和内容见招标文件第三章“评标办法”，凡未通过资格后审的投标人，其投标将被否决。</w:t>
      </w:r>
    </w:p>
    <w:p w14:paraId="36FD0B56">
      <w:pPr>
        <w:adjustRightInd w:val="0"/>
        <w:snapToGrid w:val="0"/>
        <w:spacing w:line="360" w:lineRule="auto"/>
        <w:rPr>
          <w:rFonts w:ascii="宋体" w:hAnsi="宋体"/>
          <w:b/>
          <w:szCs w:val="21"/>
        </w:rPr>
      </w:pPr>
      <w:r>
        <w:rPr>
          <w:rFonts w:hint="eastAsia" w:ascii="宋体" w:hAnsi="宋体"/>
          <w:b/>
          <w:szCs w:val="21"/>
        </w:rPr>
        <w:t>4.招标文件的获取</w:t>
      </w:r>
    </w:p>
    <w:p w14:paraId="338068AA">
      <w:pPr>
        <w:wordWrap w:val="0"/>
        <w:adjustRightInd w:val="0"/>
        <w:snapToGrid w:val="0"/>
        <w:spacing w:line="360" w:lineRule="auto"/>
        <w:ind w:firstLine="420" w:firstLineChars="200"/>
        <w:rPr>
          <w:rFonts w:ascii="宋体" w:hAnsi="宋体"/>
          <w:szCs w:val="21"/>
        </w:rPr>
      </w:pPr>
      <w:r>
        <w:rPr>
          <w:rFonts w:hint="eastAsia" w:asciiTheme="minorEastAsia" w:hAnsiTheme="minorEastAsia" w:eastAsiaTheme="minorEastAsia"/>
          <w:szCs w:val="21"/>
        </w:rPr>
        <w:t>4.1招标文件获取时间:【</w:t>
      </w:r>
      <w:r>
        <w:rPr>
          <w:rFonts w:hint="eastAsia" w:asciiTheme="minorEastAsia" w:hAnsiTheme="minorEastAsia" w:eastAsiaTheme="minorEastAsia"/>
          <w:color w:val="FF0000"/>
          <w:szCs w:val="21"/>
        </w:rPr>
        <w:t>2025年</w:t>
      </w:r>
      <w:r>
        <w:rPr>
          <w:rFonts w:hint="eastAsia" w:asciiTheme="minorEastAsia" w:hAnsiTheme="minorEastAsia" w:eastAsiaTheme="minorEastAsia"/>
          <w:color w:val="FF0000"/>
          <w:szCs w:val="21"/>
          <w:lang w:val="en-US" w:eastAsia="zh-CN"/>
        </w:rPr>
        <w:t>08</w:t>
      </w:r>
      <w:r>
        <w:rPr>
          <w:rFonts w:hint="eastAsia" w:asciiTheme="minorEastAsia" w:hAnsiTheme="minorEastAsia" w:eastAsiaTheme="minorEastAsia"/>
          <w:color w:val="FF0000"/>
          <w:szCs w:val="21"/>
        </w:rPr>
        <w:t>月</w:t>
      </w:r>
      <w:r>
        <w:rPr>
          <w:rFonts w:hint="eastAsia" w:asciiTheme="minorEastAsia" w:hAnsiTheme="minorEastAsia" w:eastAsiaTheme="minorEastAsia"/>
          <w:color w:val="FF0000"/>
          <w:szCs w:val="21"/>
          <w:lang w:val="en-US" w:eastAsia="zh-CN"/>
        </w:rPr>
        <w:t>12</w:t>
      </w:r>
      <w:r>
        <w:rPr>
          <w:rFonts w:hint="eastAsia" w:asciiTheme="minorEastAsia" w:hAnsiTheme="minorEastAsia" w:eastAsiaTheme="minorEastAsia"/>
          <w:color w:val="FF0000"/>
          <w:szCs w:val="21"/>
        </w:rPr>
        <w:t>日</w:t>
      </w:r>
      <w:r>
        <w:rPr>
          <w:rFonts w:hint="eastAsia" w:asciiTheme="minorEastAsia" w:hAnsiTheme="minorEastAsia" w:eastAsiaTheme="minorEastAsia"/>
          <w:color w:val="FF0000"/>
          <w:szCs w:val="21"/>
          <w:lang w:val="en-US" w:eastAsia="zh-CN"/>
        </w:rPr>
        <w:t>08</w:t>
      </w:r>
      <w:r>
        <w:rPr>
          <w:rFonts w:hint="eastAsia" w:asciiTheme="minorEastAsia" w:hAnsiTheme="minorEastAsia" w:eastAsiaTheme="minorEastAsia"/>
          <w:color w:val="FF0000"/>
          <w:szCs w:val="21"/>
        </w:rPr>
        <w:t>时</w:t>
      </w:r>
      <w:r>
        <w:rPr>
          <w:rFonts w:hint="eastAsia" w:asciiTheme="minorEastAsia" w:hAnsiTheme="minorEastAsia" w:eastAsiaTheme="minorEastAsia"/>
          <w:color w:val="FF0000"/>
          <w:szCs w:val="21"/>
          <w:lang w:val="en-US" w:eastAsia="zh-CN"/>
        </w:rPr>
        <w:t>3</w:t>
      </w:r>
      <w:r>
        <w:rPr>
          <w:rFonts w:hint="eastAsia" w:asciiTheme="minorEastAsia" w:hAnsiTheme="minorEastAsia" w:eastAsiaTheme="minorEastAsia"/>
          <w:color w:val="FF0000"/>
          <w:szCs w:val="21"/>
        </w:rPr>
        <w:t>0分至2025年</w:t>
      </w:r>
      <w:r>
        <w:rPr>
          <w:rFonts w:hint="eastAsia" w:asciiTheme="minorEastAsia" w:hAnsiTheme="minorEastAsia" w:eastAsiaTheme="minorEastAsia"/>
          <w:color w:val="FF0000"/>
          <w:szCs w:val="21"/>
          <w:lang w:val="en-US" w:eastAsia="zh-CN"/>
        </w:rPr>
        <w:t>08</w:t>
      </w:r>
      <w:r>
        <w:rPr>
          <w:rFonts w:hint="eastAsia" w:asciiTheme="minorEastAsia" w:hAnsiTheme="minorEastAsia" w:eastAsiaTheme="minorEastAsia"/>
          <w:color w:val="FF0000"/>
          <w:szCs w:val="21"/>
        </w:rPr>
        <w:t>月</w:t>
      </w:r>
      <w:r>
        <w:rPr>
          <w:rFonts w:hint="eastAsia" w:asciiTheme="minorEastAsia" w:hAnsiTheme="minorEastAsia" w:eastAsiaTheme="minorEastAsia"/>
          <w:color w:val="FF0000"/>
          <w:szCs w:val="21"/>
          <w:lang w:val="en-US" w:eastAsia="zh-CN"/>
        </w:rPr>
        <w:t>18</w:t>
      </w:r>
      <w:r>
        <w:rPr>
          <w:rFonts w:hint="eastAsia" w:asciiTheme="minorEastAsia" w:hAnsiTheme="minorEastAsia" w:eastAsiaTheme="minorEastAsia"/>
          <w:color w:val="FF0000"/>
          <w:szCs w:val="21"/>
        </w:rPr>
        <w:t>日</w:t>
      </w:r>
      <w:r>
        <w:rPr>
          <w:rFonts w:hint="eastAsia" w:asciiTheme="minorEastAsia" w:hAnsiTheme="minorEastAsia" w:eastAsiaTheme="minorEastAsia"/>
          <w:color w:val="FF0000"/>
          <w:szCs w:val="21"/>
          <w:lang w:val="en-US" w:eastAsia="zh-CN"/>
        </w:rPr>
        <w:t>18</w:t>
      </w:r>
      <w:r>
        <w:rPr>
          <w:rFonts w:hint="eastAsia" w:asciiTheme="minorEastAsia" w:hAnsiTheme="minorEastAsia" w:eastAsiaTheme="minorEastAsia"/>
          <w:color w:val="FF0000"/>
          <w:szCs w:val="21"/>
        </w:rPr>
        <w:t>时</w:t>
      </w:r>
      <w:r>
        <w:rPr>
          <w:rFonts w:hint="eastAsia" w:asciiTheme="minorEastAsia" w:hAnsiTheme="minorEastAsia" w:eastAsiaTheme="minorEastAsia"/>
          <w:color w:val="FF0000"/>
          <w:szCs w:val="21"/>
          <w:lang w:val="en-US" w:eastAsia="zh-CN"/>
        </w:rPr>
        <w:t>00</w:t>
      </w:r>
      <w:r>
        <w:rPr>
          <w:rFonts w:hint="eastAsia" w:asciiTheme="minorEastAsia" w:hAnsiTheme="minorEastAsia" w:eastAsiaTheme="minorEastAsia"/>
          <w:color w:val="FF0000"/>
          <w:szCs w:val="21"/>
        </w:rPr>
        <w:t>分</w:t>
      </w:r>
      <w:r>
        <w:rPr>
          <w:rFonts w:hint="eastAsia" w:asciiTheme="minorEastAsia" w:hAnsiTheme="minorEastAsia" w:eastAsiaTheme="minorEastAsia"/>
          <w:szCs w:val="21"/>
        </w:rPr>
        <w:t>】（北京时间，下同）</w:t>
      </w:r>
      <w:r>
        <w:rPr>
          <w:rFonts w:hint="eastAsia" w:ascii="宋体" w:hAnsi="宋体"/>
          <w:szCs w:val="21"/>
        </w:rPr>
        <w:t>。</w:t>
      </w:r>
    </w:p>
    <w:p w14:paraId="7DFC431D">
      <w:pPr>
        <w:wordWrap w:val="0"/>
        <w:adjustRightInd w:val="0"/>
        <w:snapToGrid w:val="0"/>
        <w:spacing w:line="360" w:lineRule="auto"/>
        <w:ind w:firstLine="420" w:firstLineChars="200"/>
        <w:rPr>
          <w:rFonts w:ascii="宋体" w:hAnsi="宋体"/>
          <w:szCs w:val="21"/>
        </w:rPr>
      </w:pPr>
      <w:r>
        <w:rPr>
          <w:rFonts w:hint="eastAsia" w:ascii="宋体" w:hAnsi="宋体"/>
          <w:szCs w:val="21"/>
        </w:rPr>
        <w:t>4.2招标文件获取方式：凡有意参与投标的潜在投标人，请按以下步骤顺序进行操作，获取招标文件：</w:t>
      </w:r>
    </w:p>
    <w:p w14:paraId="3B0213A6">
      <w:pPr>
        <w:pStyle w:val="3"/>
        <w:spacing w:line="360" w:lineRule="auto"/>
        <w:rPr>
          <w:rFonts w:ascii="宋体" w:hAnsi="宋体" w:eastAsia="宋体"/>
          <w:kern w:val="2"/>
          <w:sz w:val="21"/>
          <w:szCs w:val="21"/>
        </w:rPr>
      </w:pPr>
      <w:r>
        <w:rPr>
          <w:rFonts w:hint="eastAsia" w:ascii="宋体" w:hAnsi="宋体" w:eastAsia="宋体"/>
          <w:kern w:val="2"/>
          <w:sz w:val="21"/>
          <w:szCs w:val="21"/>
        </w:rPr>
        <w:t>4.2.1请登入招标代理机构电子招投标平台（https://zb.chinaccsscm.cn/）并根据提示完成注册、招标文件费用支付或关注“链捷招”的微信公众号，在“链捷招-投标”中根据提示完成招标文件费用支付（注册审核联系商务专员，电话：18060753032）</w:t>
      </w:r>
    </w:p>
    <w:p w14:paraId="70544D91">
      <w:pPr>
        <w:pStyle w:val="3"/>
        <w:spacing w:line="360" w:lineRule="auto"/>
        <w:rPr>
          <w:rFonts w:ascii="宋体" w:hAnsi="宋体" w:eastAsia="宋体"/>
          <w:kern w:val="2"/>
          <w:sz w:val="21"/>
          <w:szCs w:val="21"/>
        </w:rPr>
      </w:pPr>
      <w:r>
        <w:rPr>
          <w:rFonts w:hint="eastAsia" w:ascii="宋体" w:hAnsi="宋体" w:eastAsia="宋体"/>
          <w:kern w:val="2"/>
          <w:sz w:val="21"/>
          <w:szCs w:val="21"/>
        </w:rPr>
        <w:t>4.3招标文件每套售价</w:t>
      </w:r>
      <w:r>
        <w:rPr>
          <w:rFonts w:hint="eastAsia" w:ascii="宋体" w:hAnsi="宋体"/>
          <w:kern w:val="2"/>
          <w:sz w:val="21"/>
          <w:szCs w:val="21"/>
          <w:lang w:val="en-US" w:eastAsia="zh-CN"/>
        </w:rPr>
        <w:t>0</w:t>
      </w:r>
      <w:bookmarkStart w:id="1" w:name="_GoBack"/>
      <w:bookmarkEnd w:id="1"/>
      <w:r>
        <w:rPr>
          <w:rFonts w:hint="eastAsia" w:ascii="宋体" w:hAnsi="宋体" w:eastAsia="宋体"/>
          <w:kern w:val="2"/>
          <w:sz w:val="21"/>
          <w:szCs w:val="21"/>
        </w:rPr>
        <w:t>元人民币，售后不退。</w:t>
      </w:r>
    </w:p>
    <w:p w14:paraId="39AB78C1">
      <w:pPr>
        <w:wordWrap w:val="0"/>
        <w:adjustRightInd w:val="0"/>
        <w:snapToGrid w:val="0"/>
        <w:spacing w:line="360" w:lineRule="auto"/>
        <w:ind w:firstLine="420" w:firstLineChars="200"/>
        <w:rPr>
          <w:rFonts w:ascii="宋体" w:hAnsi="宋体"/>
          <w:szCs w:val="21"/>
        </w:rPr>
      </w:pPr>
      <w:r>
        <w:rPr>
          <w:rFonts w:hint="eastAsia" w:ascii="宋体" w:hAnsi="宋体"/>
          <w:szCs w:val="21"/>
        </w:rPr>
        <w:t>4.4若公告附件无法下载请联系招标代理机构项目负责人获取。</w:t>
      </w:r>
    </w:p>
    <w:p w14:paraId="6E5CA4F5">
      <w:pPr>
        <w:adjustRightInd w:val="0"/>
        <w:snapToGrid w:val="0"/>
        <w:spacing w:line="360" w:lineRule="auto"/>
        <w:rPr>
          <w:rFonts w:ascii="汉仪中黑 197" w:hAnsi="汉仪中黑 197" w:eastAsia="汉仪中黑 197" w:cs="汉仪中黑 197"/>
          <w:b/>
          <w:szCs w:val="21"/>
        </w:rPr>
      </w:pPr>
      <w:r>
        <w:rPr>
          <w:rFonts w:hint="eastAsia" w:ascii="宋体" w:hAnsi="宋体"/>
          <w:b/>
          <w:szCs w:val="21"/>
        </w:rPr>
        <w:t>5.投标文件的递交</w:t>
      </w:r>
    </w:p>
    <w:p w14:paraId="3CE6C0E2">
      <w:pPr>
        <w:wordWrap w:val="0"/>
        <w:adjustRightInd w:val="0"/>
        <w:snapToGrid w:val="0"/>
        <w:spacing w:line="360" w:lineRule="auto"/>
        <w:ind w:firstLine="420" w:firstLineChars="200"/>
        <w:rPr>
          <w:rFonts w:ascii="宋体" w:hAnsi="宋体"/>
          <w:szCs w:val="21"/>
        </w:rPr>
      </w:pPr>
      <w:r>
        <w:rPr>
          <w:rFonts w:hint="eastAsia" w:ascii="汉仪中黑 197" w:hAnsi="汉仪中黑 197" w:eastAsia="汉仪中黑 197" w:cs="汉仪中黑 197"/>
          <w:szCs w:val="21"/>
        </w:rPr>
        <w:t>5.1投标文件递交截止时间（即投标截止时间）为：【</w:t>
      </w:r>
      <w:r>
        <w:rPr>
          <w:rFonts w:hint="eastAsia" w:asciiTheme="minorEastAsia" w:hAnsiTheme="minorEastAsia" w:eastAsiaTheme="minorEastAsia"/>
          <w:color w:val="FF0000"/>
          <w:szCs w:val="21"/>
          <w:lang w:val="en-US" w:eastAsia="zh-CN"/>
        </w:rPr>
        <w:t>2025年09月02日09时00分</w:t>
      </w:r>
      <w:r>
        <w:rPr>
          <w:rFonts w:hint="eastAsia" w:ascii="汉仪中黑 197" w:hAnsi="汉仪中黑 197" w:eastAsia="汉仪中黑 197" w:cs="汉仪中黑 197"/>
          <w:szCs w:val="21"/>
        </w:rPr>
        <w:t>】。</w:t>
      </w:r>
    </w:p>
    <w:p w14:paraId="2579BB1F">
      <w:pPr>
        <w:pStyle w:val="3"/>
        <w:spacing w:line="360" w:lineRule="auto"/>
        <w:rPr>
          <w:rFonts w:ascii="宋体" w:hAnsi="宋体" w:eastAsia="宋体"/>
          <w:kern w:val="2"/>
          <w:sz w:val="21"/>
          <w:szCs w:val="21"/>
        </w:rPr>
      </w:pPr>
      <w:r>
        <w:rPr>
          <w:rFonts w:hint="eastAsia" w:ascii="宋体" w:hAnsi="宋体" w:eastAsia="宋体"/>
          <w:kern w:val="2"/>
          <w:sz w:val="21"/>
          <w:szCs w:val="21"/>
        </w:rPr>
        <w:t>5.2</w:t>
      </w:r>
      <w:r>
        <w:rPr>
          <w:rFonts w:hint="eastAsia" w:ascii="宋体" w:hAnsi="宋体" w:eastAsia="宋体" w:cs="宋体"/>
          <w:sz w:val="21"/>
          <w:szCs w:val="21"/>
        </w:rPr>
        <w:t>投标文件递交地点：</w:t>
      </w:r>
      <w:r>
        <w:rPr>
          <w:rFonts w:hint="eastAsia" w:ascii="宋体" w:hAnsi="宋体" w:eastAsia="宋体"/>
          <w:kern w:val="2"/>
          <w:sz w:val="21"/>
          <w:szCs w:val="21"/>
        </w:rPr>
        <w:t>福建省泉州市丰泽区泉秀街道宝洲路399号富翔上城2#207室。</w:t>
      </w:r>
    </w:p>
    <w:p w14:paraId="08308A9A">
      <w:pPr>
        <w:pStyle w:val="3"/>
        <w:spacing w:line="360" w:lineRule="auto"/>
        <w:rPr>
          <w:rFonts w:ascii="宋体" w:hAnsi="宋体" w:eastAsia="宋体" w:cs="宋体"/>
          <w:sz w:val="21"/>
          <w:szCs w:val="21"/>
        </w:rPr>
      </w:pPr>
      <w:r>
        <w:rPr>
          <w:rFonts w:hint="eastAsia" w:ascii="宋体" w:hAnsi="宋体" w:eastAsia="宋体" w:cs="宋体"/>
          <w:sz w:val="21"/>
          <w:szCs w:val="21"/>
        </w:rPr>
        <w:t>递交纸质投标文件可以使用邮寄、快递方式（邮寄地址同纸质投标文件递交地点一致），投标人应为投标文件预留出足够的邮寄时间，逾期不接收，因邮寄或快递的原因未在投标截止时间前送达指定地点的，一切责任由投标人负责。文件寄出后第一时间将邮寄信息（内容应包含：项目名称、项目编号、投标人名称、快递单图片及快递单号）发送给招标代理机构投标文件接收联系人：蒋恭楷，电话：19905958001，电子邮箱：jianggongkai@chinacss.cn</w:t>
      </w:r>
    </w:p>
    <w:p w14:paraId="3DA706EF">
      <w:pPr>
        <w:pStyle w:val="3"/>
        <w:spacing w:line="360" w:lineRule="auto"/>
        <w:rPr>
          <w:rFonts w:ascii="宋体" w:hAnsi="宋体" w:eastAsia="宋体" w:cs="宋体"/>
          <w:sz w:val="21"/>
          <w:szCs w:val="21"/>
        </w:rPr>
      </w:pPr>
      <w:r>
        <w:rPr>
          <w:rFonts w:hint="eastAsia" w:ascii="宋体" w:hAnsi="宋体" w:eastAsia="宋体" w:cs="宋体"/>
          <w:sz w:val="21"/>
          <w:szCs w:val="21"/>
        </w:rPr>
        <w:t>5.3本项目将于上述同一时间、地点进行唱价，【招标人/招标代理机构】邀请投标人的法定代表人或者其委托代理人准时参加。</w:t>
      </w:r>
    </w:p>
    <w:p w14:paraId="3A0B02A7">
      <w:pPr>
        <w:pStyle w:val="3"/>
        <w:spacing w:line="360" w:lineRule="auto"/>
        <w:rPr>
          <w:rFonts w:ascii="宋体" w:hAnsi="宋体" w:eastAsia="宋体" w:cs="宋体"/>
          <w:sz w:val="21"/>
          <w:szCs w:val="21"/>
        </w:rPr>
      </w:pPr>
      <w:r>
        <w:rPr>
          <w:rFonts w:hint="eastAsia" w:ascii="宋体" w:hAnsi="宋体" w:eastAsia="宋体" w:cs="宋体"/>
          <w:sz w:val="21"/>
          <w:szCs w:val="21"/>
        </w:rPr>
        <w:t>5.4出现以下情形时，【招标人/招标代理机构】不予接收投标文件：</w:t>
      </w:r>
    </w:p>
    <w:p w14:paraId="138D1CE2">
      <w:pPr>
        <w:pStyle w:val="3"/>
        <w:spacing w:line="360" w:lineRule="auto"/>
        <w:rPr>
          <w:rFonts w:ascii="宋体" w:hAnsi="宋体" w:eastAsia="宋体" w:cs="宋体"/>
          <w:sz w:val="21"/>
          <w:szCs w:val="21"/>
        </w:rPr>
      </w:pPr>
      <w:r>
        <w:rPr>
          <w:rFonts w:hint="eastAsia" w:ascii="宋体" w:hAnsi="宋体" w:eastAsia="宋体" w:cs="宋体"/>
          <w:sz w:val="21"/>
          <w:szCs w:val="21"/>
        </w:rPr>
        <w:t>5.4.1逾期送达或者未送达指定地点的；</w:t>
      </w:r>
    </w:p>
    <w:p w14:paraId="1F03E20E">
      <w:pPr>
        <w:pStyle w:val="3"/>
        <w:spacing w:line="360" w:lineRule="auto"/>
        <w:rPr>
          <w:rFonts w:ascii="宋体" w:hAnsi="宋体" w:eastAsia="宋体" w:cs="宋体"/>
          <w:sz w:val="21"/>
          <w:szCs w:val="21"/>
        </w:rPr>
      </w:pPr>
      <w:r>
        <w:rPr>
          <w:rFonts w:hint="eastAsia" w:ascii="宋体" w:hAnsi="宋体" w:eastAsia="宋体" w:cs="宋体"/>
          <w:sz w:val="21"/>
          <w:szCs w:val="21"/>
        </w:rPr>
        <w:t>5.4.2未按照招标文件要求密封的；</w:t>
      </w:r>
    </w:p>
    <w:p w14:paraId="5A70D21D">
      <w:pPr>
        <w:pStyle w:val="3"/>
        <w:spacing w:line="360" w:lineRule="auto"/>
        <w:rPr>
          <w:rFonts w:ascii="宋体" w:hAnsi="宋体" w:eastAsia="宋体" w:cs="宋体"/>
          <w:sz w:val="21"/>
          <w:szCs w:val="21"/>
        </w:rPr>
      </w:pPr>
      <w:r>
        <w:rPr>
          <w:rFonts w:hint="eastAsia" w:ascii="宋体" w:hAnsi="宋体" w:eastAsia="宋体" w:cs="宋体"/>
          <w:sz w:val="21"/>
          <w:szCs w:val="21"/>
        </w:rPr>
        <w:t>5.4.3未按照本招标公告要求获得本项目招标文件的。</w:t>
      </w:r>
    </w:p>
    <w:p w14:paraId="675B94F6">
      <w:pPr>
        <w:pStyle w:val="3"/>
        <w:spacing w:line="360" w:lineRule="auto"/>
        <w:rPr>
          <w:rFonts w:ascii="宋体" w:hAnsi="宋体" w:eastAsia="宋体"/>
          <w:szCs w:val="21"/>
        </w:rPr>
      </w:pPr>
      <w:r>
        <w:rPr>
          <w:rFonts w:hint="eastAsia" w:ascii="宋体" w:hAnsi="宋体" w:eastAsia="宋体" w:cs="宋体"/>
          <w:sz w:val="21"/>
          <w:szCs w:val="21"/>
        </w:rPr>
        <w:t>5.4.4唱价方式：本项目采用现场唱价。</w:t>
      </w:r>
    </w:p>
    <w:p w14:paraId="77DDDA58">
      <w:pPr>
        <w:adjustRightInd w:val="0"/>
        <w:snapToGrid w:val="0"/>
        <w:spacing w:line="360" w:lineRule="auto"/>
        <w:rPr>
          <w:rFonts w:ascii="宋体" w:hAnsi="宋体"/>
          <w:b/>
          <w:szCs w:val="21"/>
        </w:rPr>
      </w:pPr>
      <w:r>
        <w:rPr>
          <w:rFonts w:hint="eastAsia" w:ascii="宋体" w:hAnsi="宋体"/>
          <w:b/>
          <w:szCs w:val="21"/>
        </w:rPr>
        <w:t>6.样品的递交</w:t>
      </w:r>
    </w:p>
    <w:p w14:paraId="6520674D">
      <w:pPr>
        <w:adjustRightInd w:val="0"/>
        <w:snapToGrid w:val="0"/>
        <w:spacing w:line="360" w:lineRule="auto"/>
        <w:ind w:firstLine="420" w:firstLineChars="200"/>
        <w:rPr>
          <w:rFonts w:ascii="宋体" w:hAnsi="宋体"/>
          <w:szCs w:val="21"/>
        </w:rPr>
      </w:pPr>
      <w:r>
        <w:rPr>
          <w:rFonts w:hint="eastAsia" w:ascii="宋体" w:hAnsi="宋体"/>
          <w:szCs w:val="21"/>
        </w:rPr>
        <w:t>6.1样品递交的时间、地点：【</w:t>
      </w:r>
      <w:r>
        <w:rPr>
          <w:rFonts w:hint="eastAsia" w:ascii="宋体" w:hAnsi="宋体"/>
          <w:szCs w:val="21"/>
          <w:u w:val="single"/>
        </w:rPr>
        <w:t>不适用</w:t>
      </w:r>
      <w:r>
        <w:rPr>
          <w:rFonts w:hint="eastAsia" w:ascii="宋体" w:hAnsi="宋体"/>
          <w:szCs w:val="21"/>
        </w:rPr>
        <w:t>】</w:t>
      </w:r>
    </w:p>
    <w:p w14:paraId="76DB1484">
      <w:pPr>
        <w:adjustRightInd w:val="0"/>
        <w:snapToGrid w:val="0"/>
        <w:spacing w:line="360" w:lineRule="auto"/>
        <w:ind w:firstLine="420" w:firstLineChars="200"/>
        <w:rPr>
          <w:rFonts w:ascii="宋体" w:hAnsi="宋体"/>
          <w:szCs w:val="21"/>
        </w:rPr>
      </w:pPr>
      <w:r>
        <w:rPr>
          <w:rFonts w:hint="eastAsia" w:ascii="宋体" w:hAnsi="宋体"/>
          <w:szCs w:val="21"/>
        </w:rPr>
        <w:t>6.2检测相关费用：【</w:t>
      </w:r>
      <w:r>
        <w:rPr>
          <w:rFonts w:hint="eastAsia" w:ascii="宋体" w:hAnsi="宋体"/>
          <w:szCs w:val="21"/>
          <w:u w:val="single"/>
        </w:rPr>
        <w:t>不适用</w:t>
      </w:r>
      <w:r>
        <w:rPr>
          <w:rFonts w:hint="eastAsia" w:ascii="宋体" w:hAnsi="宋体"/>
          <w:szCs w:val="21"/>
        </w:rPr>
        <w:t>】</w:t>
      </w:r>
    </w:p>
    <w:p w14:paraId="2D27650C">
      <w:pPr>
        <w:adjustRightInd w:val="0"/>
        <w:snapToGrid w:val="0"/>
        <w:spacing w:line="360" w:lineRule="auto"/>
        <w:rPr>
          <w:rFonts w:ascii="宋体" w:hAnsi="宋体"/>
          <w:b/>
          <w:szCs w:val="21"/>
        </w:rPr>
      </w:pPr>
      <w:r>
        <w:rPr>
          <w:rFonts w:hint="eastAsia" w:ascii="宋体" w:hAnsi="宋体"/>
          <w:b/>
          <w:szCs w:val="21"/>
        </w:rPr>
        <w:t>7.发布公告的媒介</w:t>
      </w:r>
    </w:p>
    <w:p w14:paraId="0E758F93">
      <w:pPr>
        <w:adjustRightInd w:val="0"/>
        <w:snapToGrid w:val="0"/>
        <w:spacing w:line="360" w:lineRule="auto"/>
        <w:ind w:firstLine="420" w:firstLineChars="200"/>
        <w:rPr>
          <w:rFonts w:ascii="宋体" w:hAnsi="宋体"/>
          <w:szCs w:val="21"/>
        </w:rPr>
      </w:pPr>
      <w:r>
        <w:rPr>
          <w:rFonts w:hint="eastAsia" w:ascii="宋体" w:hAnsi="宋体"/>
          <w:szCs w:val="21"/>
        </w:rPr>
        <w:t>本招标公告同时</w:t>
      </w:r>
      <w:r>
        <w:rPr>
          <w:rFonts w:hint="eastAsia" w:ascii="宋体" w:hAnsi="宋体"/>
        </w:rPr>
        <w:t>且仅在中通服供应链管理有限公司-中国通服招标系统（</w:t>
      </w:r>
      <w:r>
        <w:rPr>
          <w:rFonts w:ascii="宋体" w:hAnsi="宋体"/>
        </w:rPr>
        <w:t>https://zb.chinaccsscm.cn/</w:t>
      </w:r>
      <w:r>
        <w:rPr>
          <w:rFonts w:hint="eastAsia" w:ascii="宋体" w:hAnsi="宋体"/>
        </w:rPr>
        <w:t>）、</w:t>
      </w:r>
      <w:r>
        <w:rPr>
          <w:rFonts w:hint="eastAsia" w:cs="宋体" w:asciiTheme="minorEastAsia" w:hAnsiTheme="minorEastAsia" w:eastAsiaTheme="minorEastAsia"/>
          <w:kern w:val="0"/>
          <w:szCs w:val="21"/>
        </w:rPr>
        <w:t>中国招标投标公共服务平台（http://www.cebpubservice.com/）</w:t>
      </w:r>
      <w:r>
        <w:rPr>
          <w:rFonts w:hint="eastAsia" w:ascii="宋体" w:hAnsi="宋体"/>
        </w:rPr>
        <w:t>、中国通服采招门户（https://szyc.chinaccs.cn/portal/index）</w:t>
      </w:r>
      <w:r>
        <w:rPr>
          <w:rFonts w:hint="eastAsia" w:asciiTheme="minorEastAsia" w:hAnsiTheme="minorEastAsia" w:eastAsiaTheme="minorEastAsia"/>
          <w:szCs w:val="21"/>
        </w:rPr>
        <w:t>上发布，其他媒介转载无效</w:t>
      </w:r>
      <w:r>
        <w:rPr>
          <w:rFonts w:hint="eastAsia" w:ascii="宋体" w:hAnsi="宋体"/>
          <w:szCs w:val="21"/>
        </w:rPr>
        <w:t>。</w:t>
      </w:r>
    </w:p>
    <w:p w14:paraId="5F8BD8E8">
      <w:pPr>
        <w:adjustRightInd w:val="0"/>
        <w:snapToGrid w:val="0"/>
        <w:spacing w:line="360" w:lineRule="auto"/>
        <w:rPr>
          <w:rFonts w:ascii="宋体" w:hAnsi="宋体"/>
          <w:b/>
          <w:szCs w:val="21"/>
        </w:rPr>
      </w:pPr>
      <w:r>
        <w:rPr>
          <w:rFonts w:hint="eastAsia" w:ascii="宋体" w:hAnsi="宋体"/>
          <w:b/>
          <w:szCs w:val="21"/>
        </w:rPr>
        <w:t>8.联系及异议接收方式</w:t>
      </w:r>
    </w:p>
    <w:p w14:paraId="2C9D294E">
      <w:pPr>
        <w:spacing w:line="360" w:lineRule="auto"/>
        <w:rPr>
          <w:rFonts w:ascii="宋体" w:hAnsi="宋体"/>
          <w:szCs w:val="21"/>
        </w:rPr>
      </w:pPr>
      <w:r>
        <w:rPr>
          <w:rFonts w:hint="eastAsia" w:asciiTheme="minorEastAsia" w:hAnsiTheme="minorEastAsia" w:eastAsiaTheme="minorEastAsia"/>
        </w:rPr>
        <w:t>8</w:t>
      </w:r>
      <w:r>
        <w:rPr>
          <w:rFonts w:asciiTheme="minorEastAsia" w:hAnsiTheme="minorEastAsia" w:eastAsiaTheme="minorEastAsia"/>
        </w:rPr>
        <w:t>.1</w:t>
      </w:r>
      <w:r>
        <w:rPr>
          <w:rFonts w:hint="eastAsia" w:asciiTheme="minorEastAsia" w:hAnsiTheme="minorEastAsia" w:eastAsiaTheme="minorEastAsia"/>
        </w:rPr>
        <w:t>联系</w:t>
      </w:r>
      <w:r>
        <w:rPr>
          <w:rFonts w:hint="eastAsia" w:ascii="宋体" w:hAnsi="宋体"/>
          <w:szCs w:val="21"/>
        </w:rPr>
        <w:t>方式</w:t>
      </w:r>
    </w:p>
    <w:p w14:paraId="78579044">
      <w:pPr>
        <w:spacing w:line="360" w:lineRule="auto"/>
        <w:rPr>
          <w:rFonts w:ascii="宋体" w:hAnsi="宋体"/>
        </w:rPr>
      </w:pPr>
      <w:r>
        <w:rPr>
          <w:rFonts w:hint="eastAsia" w:ascii="宋体" w:hAnsi="宋体"/>
        </w:rPr>
        <w:t>招 标 人：</w:t>
      </w:r>
      <w:r>
        <w:rPr>
          <w:rFonts w:hint="eastAsia" w:ascii="宋体" w:hAnsi="宋体" w:cs="宋体"/>
          <w:color w:val="000000" w:themeColor="text1"/>
          <w14:textFill>
            <w14:solidFill>
              <w14:schemeClr w14:val="tx1"/>
            </w14:solidFill>
          </w14:textFill>
        </w:rPr>
        <w:t>福建省邮电物业管理有限公司泉州分公司</w:t>
      </w:r>
    </w:p>
    <w:p w14:paraId="2547FDEF">
      <w:pPr>
        <w:spacing w:line="360" w:lineRule="auto"/>
        <w:rPr>
          <w:rFonts w:ascii="宋体" w:hAnsi="宋体"/>
        </w:rPr>
      </w:pPr>
      <w:r>
        <w:rPr>
          <w:rFonts w:hint="eastAsia" w:ascii="宋体" w:hAnsi="宋体"/>
        </w:rPr>
        <w:t>地    址：</w:t>
      </w:r>
      <w:r>
        <w:rPr>
          <w:rFonts w:hint="eastAsia" w:ascii="宋体" w:hAnsi="宋体" w:cs="宋体"/>
          <w:color w:val="000000" w:themeColor="text1"/>
          <w14:textFill>
            <w14:solidFill>
              <w14:schemeClr w14:val="tx1"/>
            </w14:solidFill>
          </w14:textFill>
        </w:rPr>
        <w:t>【</w:t>
      </w:r>
      <w:r>
        <w:rPr>
          <w:rFonts w:hint="eastAsia" w:ascii="宋体" w:hAnsi="宋体"/>
          <w:u w:val="single"/>
        </w:rPr>
        <w:t>福建省泉州市丰泽区刺桐南路东海电信大楼后</w:t>
      </w:r>
      <w:r>
        <w:rPr>
          <w:rFonts w:hint="eastAsia" w:ascii="宋体" w:hAnsi="宋体"/>
        </w:rPr>
        <w:t>】</w:t>
      </w:r>
    </w:p>
    <w:p w14:paraId="77053121">
      <w:pPr>
        <w:spacing w:line="400" w:lineRule="exact"/>
        <w:rPr>
          <w:rFonts w:ascii="宋体" w:hAnsi="宋体"/>
        </w:rPr>
      </w:pPr>
      <w:r>
        <w:rPr>
          <w:rFonts w:hint="eastAsia" w:ascii="宋体" w:hAnsi="宋体"/>
        </w:rPr>
        <w:t>邮    编：</w:t>
      </w:r>
      <w:r>
        <w:rPr>
          <w:rFonts w:hint="eastAsia" w:ascii="宋体" w:hAnsi="宋体"/>
          <w:u w:val="single"/>
        </w:rPr>
        <w:t>【3</w:t>
      </w:r>
      <w:r>
        <w:rPr>
          <w:rFonts w:ascii="宋体" w:hAnsi="宋体"/>
          <w:u w:val="single"/>
        </w:rPr>
        <w:t>62000</w:t>
      </w:r>
      <w:r>
        <w:rPr>
          <w:rFonts w:hint="eastAsia" w:ascii="宋体" w:hAnsi="宋体"/>
          <w:u w:val="single"/>
        </w:rPr>
        <w:t>】</w:t>
      </w:r>
    </w:p>
    <w:p w14:paraId="7256699F">
      <w:pPr>
        <w:pStyle w:val="16"/>
        <w:spacing w:line="400" w:lineRule="exact"/>
        <w:ind w:firstLine="0" w:firstLineChars="0"/>
        <w:rPr>
          <w:rFonts w:ascii="宋体" w:hAnsi="宋体"/>
        </w:rPr>
      </w:pPr>
      <w:r>
        <w:rPr>
          <w:rFonts w:hint="eastAsia" w:ascii="宋体" w:hAnsi="宋体"/>
        </w:rPr>
        <w:t>联 系 人：</w:t>
      </w:r>
      <w:r>
        <w:rPr>
          <w:rFonts w:hint="eastAsia" w:ascii="宋体" w:hAnsi="宋体"/>
          <w:u w:val="single"/>
        </w:rPr>
        <w:t>【徐经理】</w:t>
      </w:r>
    </w:p>
    <w:p w14:paraId="3A572230">
      <w:pPr>
        <w:spacing w:line="360" w:lineRule="auto"/>
        <w:rPr>
          <w:rFonts w:ascii="宋体" w:hAnsi="宋体"/>
          <w:szCs w:val="21"/>
        </w:rPr>
      </w:pPr>
      <w:r>
        <w:rPr>
          <w:rFonts w:hint="eastAsia" w:ascii="宋体" w:hAnsi="宋体"/>
        </w:rPr>
        <w:t>电    话：</w:t>
      </w:r>
      <w:r>
        <w:rPr>
          <w:rFonts w:hint="eastAsia" w:ascii="宋体" w:hAnsi="宋体"/>
          <w:u w:val="single"/>
        </w:rPr>
        <w:t>【1</w:t>
      </w:r>
      <w:r>
        <w:rPr>
          <w:rFonts w:ascii="宋体" w:hAnsi="宋体"/>
          <w:u w:val="single"/>
        </w:rPr>
        <w:t>8906996900</w:t>
      </w:r>
      <w:r>
        <w:rPr>
          <w:rFonts w:hint="eastAsia" w:ascii="宋体" w:hAnsi="宋体"/>
          <w:szCs w:val="21"/>
        </w:rPr>
        <w:t>】</w:t>
      </w:r>
    </w:p>
    <w:p w14:paraId="728E3B64">
      <w:pPr>
        <w:spacing w:line="360" w:lineRule="auto"/>
        <w:rPr>
          <w:rFonts w:ascii="宋体" w:hAnsi="宋体"/>
          <w:szCs w:val="21"/>
        </w:rPr>
      </w:pPr>
      <w:r>
        <w:rPr>
          <w:rFonts w:hint="eastAsia" w:ascii="宋体" w:hAnsi="宋体"/>
          <w:szCs w:val="21"/>
        </w:rPr>
        <w:t>招标代理机构：福建省中通通信有限公司</w:t>
      </w:r>
    </w:p>
    <w:p w14:paraId="068B84FD">
      <w:pPr>
        <w:spacing w:line="360" w:lineRule="auto"/>
        <w:rPr>
          <w:rFonts w:ascii="宋体" w:hAnsi="宋体"/>
          <w:szCs w:val="21"/>
        </w:rPr>
      </w:pPr>
      <w:r>
        <w:rPr>
          <w:rFonts w:hint="eastAsia" w:ascii="宋体" w:hAnsi="宋体"/>
          <w:szCs w:val="21"/>
        </w:rPr>
        <w:t>地    址：福州市仓山区信平路10号</w:t>
      </w:r>
    </w:p>
    <w:p w14:paraId="25EB2D15">
      <w:pPr>
        <w:spacing w:line="360" w:lineRule="auto"/>
        <w:rPr>
          <w:rFonts w:ascii="宋体" w:hAnsi="宋体" w:cs="宋体"/>
          <w:color w:val="000000"/>
        </w:rPr>
      </w:pPr>
      <w:r>
        <w:rPr>
          <w:rFonts w:hint="eastAsia" w:ascii="宋体" w:hAnsi="宋体"/>
        </w:rPr>
        <w:t>邮    编：350007</w:t>
      </w:r>
    </w:p>
    <w:p w14:paraId="39F8C159">
      <w:pPr>
        <w:spacing w:line="360" w:lineRule="auto"/>
        <w:rPr>
          <w:rFonts w:ascii="宋体" w:hAnsi="宋体"/>
          <w:szCs w:val="21"/>
        </w:rPr>
      </w:pPr>
      <w:r>
        <w:rPr>
          <w:rFonts w:hint="eastAsia" w:ascii="宋体" w:hAnsi="宋体"/>
          <w:szCs w:val="21"/>
        </w:rPr>
        <w:t>项目负责人1：【蒋恭楷】 电话：【</w:t>
      </w:r>
      <w:r>
        <w:rPr>
          <w:rFonts w:hint="eastAsia" w:ascii="宋体" w:hAnsi="宋体"/>
          <w:szCs w:val="21"/>
          <w:lang w:val="en-US" w:eastAsia="zh-CN"/>
        </w:rPr>
        <w:t>19905958001</w:t>
      </w:r>
      <w:r>
        <w:rPr>
          <w:rFonts w:hint="eastAsia" w:ascii="宋体" w:hAnsi="宋体"/>
          <w:szCs w:val="21"/>
        </w:rPr>
        <w:t>】电子邮箱：【</w:t>
      </w:r>
      <w:r>
        <w:fldChar w:fldCharType="begin"/>
      </w:r>
      <w:r>
        <w:instrText xml:space="preserve"> HYPERLINK "mailto:jianggongkai@chinaccs.cn】" </w:instrText>
      </w:r>
      <w:r>
        <w:fldChar w:fldCharType="separate"/>
      </w:r>
      <w:r>
        <w:rPr>
          <w:rFonts w:hint="eastAsia" w:ascii="宋体" w:hAnsi="宋体"/>
          <w:szCs w:val="21"/>
        </w:rPr>
        <w:t>jianggongkai@chinaccs.cn】</w:t>
      </w:r>
      <w:r>
        <w:rPr>
          <w:rFonts w:hint="eastAsia" w:ascii="宋体" w:hAnsi="宋体"/>
          <w:szCs w:val="21"/>
        </w:rPr>
        <w:fldChar w:fldCharType="end"/>
      </w:r>
    </w:p>
    <w:p w14:paraId="67A87656">
      <w:pPr>
        <w:spacing w:line="360" w:lineRule="auto"/>
        <w:rPr>
          <w:rFonts w:ascii="宋体" w:hAnsi="宋体"/>
          <w:szCs w:val="21"/>
        </w:rPr>
      </w:pPr>
      <w:r>
        <w:rPr>
          <w:rFonts w:hint="eastAsia" w:ascii="宋体" w:hAnsi="宋体"/>
          <w:szCs w:val="21"/>
        </w:rPr>
        <w:t>项目负责人2：【庄灿扬】电话：【15392275666】</w:t>
      </w:r>
    </w:p>
    <w:p w14:paraId="1B1A4FD9">
      <w:pPr>
        <w:spacing w:line="360" w:lineRule="auto"/>
        <w:rPr>
          <w:rFonts w:asciiTheme="minorEastAsia" w:hAnsiTheme="minorEastAsia" w:eastAsiaTheme="minorEastAsia"/>
        </w:rPr>
      </w:pPr>
      <w:r>
        <w:rPr>
          <w:rFonts w:hint="eastAsia" w:asciiTheme="minorEastAsia" w:hAnsiTheme="minorEastAsia" w:eastAsiaTheme="minorEastAsia"/>
        </w:rPr>
        <w:t>8.2异议接收方式</w:t>
      </w:r>
    </w:p>
    <w:p w14:paraId="3CD68FA5">
      <w:pPr>
        <w:pStyle w:val="10"/>
        <w:wordWrap w:val="0"/>
        <w:spacing w:line="360" w:lineRule="auto"/>
        <w:ind w:firstLine="424" w:firstLineChars="202"/>
        <w:rPr>
          <w:rFonts w:asciiTheme="minorEastAsia" w:hAnsiTheme="minorEastAsia" w:eastAsiaTheme="minorEastAsia"/>
        </w:rPr>
      </w:pPr>
      <w:r>
        <w:rPr>
          <w:rFonts w:hint="eastAsia" w:ascii="宋体" w:hAnsi="宋体"/>
        </w:rPr>
        <w:t>【异议接收邮箱：【</w:t>
      </w:r>
      <w:r>
        <w:rPr>
          <w:rFonts w:hint="eastAsia" w:ascii="宋体" w:hAnsi="宋体"/>
          <w:szCs w:val="21"/>
        </w:rPr>
        <w:t>jianggongkai@chinaccs.cn</w:t>
      </w:r>
      <w:r>
        <w:rPr>
          <w:rFonts w:ascii="宋体" w:hAnsi="宋体"/>
          <w:szCs w:val="21"/>
        </w:rPr>
        <w:t>】</w:t>
      </w:r>
      <w:r>
        <w:rPr>
          <w:rFonts w:hint="eastAsia" w:asciiTheme="minorEastAsia" w:hAnsiTheme="minorEastAsia" w:eastAsiaTheme="minorEastAsia"/>
        </w:rPr>
        <w:t>。</w:t>
      </w:r>
    </w:p>
    <w:p w14:paraId="337D20A3">
      <w:pPr>
        <w:adjustRightInd w:val="0"/>
        <w:snapToGrid w:val="0"/>
        <w:spacing w:line="360" w:lineRule="auto"/>
        <w:rPr>
          <w:rFonts w:ascii="宋体" w:hAnsi="宋体"/>
          <w:b/>
          <w:szCs w:val="21"/>
        </w:rPr>
      </w:pPr>
      <w:r>
        <w:rPr>
          <w:rFonts w:hint="eastAsia" w:ascii="宋体" w:hAnsi="宋体"/>
          <w:b/>
          <w:szCs w:val="21"/>
        </w:rPr>
        <w:t>9.纸质保函、保险递交地点（如有）</w:t>
      </w:r>
    </w:p>
    <w:p w14:paraId="6194A23A">
      <w:pPr>
        <w:pStyle w:val="10"/>
        <w:wordWrap w:val="0"/>
        <w:spacing w:line="360" w:lineRule="auto"/>
        <w:rPr>
          <w:rFonts w:asciiTheme="minorEastAsia" w:hAnsiTheme="minorEastAsia" w:eastAsiaTheme="minorEastAsia"/>
        </w:rPr>
      </w:pPr>
      <w:r>
        <w:rPr>
          <w:rFonts w:hint="eastAsia" w:ascii="宋体" w:hAnsi="宋体" w:cs="宋体"/>
          <w:szCs w:val="21"/>
        </w:rPr>
        <w:t>纸质保函、保险等原件应作为投标文件在投标截止时间前</w:t>
      </w:r>
      <w:r>
        <w:rPr>
          <w:rFonts w:hint="eastAsia" w:ascii="宋体" w:hAnsi="宋体" w:cs="宋体"/>
          <w:b/>
          <w:bCs/>
          <w:szCs w:val="21"/>
        </w:rPr>
        <w:t>（</w:t>
      </w:r>
      <w:r>
        <w:rPr>
          <w:rFonts w:hint="eastAsia" w:ascii="宋体" w:hAnsi="宋体" w:cs="宋体"/>
          <w:b/>
          <w:bCs/>
          <w:color w:val="000000" w:themeColor="text1"/>
          <w:szCs w:val="21"/>
          <w14:textFill>
            <w14:solidFill>
              <w14:schemeClr w14:val="tx1"/>
            </w14:solidFill>
          </w14:textFill>
        </w:rPr>
        <w:t>单独密封）</w:t>
      </w:r>
      <w:r>
        <w:rPr>
          <w:rFonts w:hint="eastAsia" w:ascii="宋体" w:hAnsi="宋体" w:cs="宋体"/>
          <w:szCs w:val="21"/>
        </w:rPr>
        <w:t>提交到指定地点：</w:t>
      </w:r>
      <w:r>
        <w:rPr>
          <w:rFonts w:hint="eastAsia" w:cs="宋体" w:asciiTheme="minorEastAsia" w:hAnsiTheme="minorEastAsia" w:eastAsiaTheme="minorEastAsia"/>
          <w:szCs w:val="21"/>
        </w:rPr>
        <w:t>【</w:t>
      </w:r>
      <w:r>
        <w:rPr>
          <w:rFonts w:hint="eastAsia" w:ascii="宋体" w:hAnsi="宋体" w:cs="宋体"/>
          <w:szCs w:val="21"/>
        </w:rPr>
        <w:t>福建省泉州市丰泽区宝洲街399号富翔上城2号楼2楼207室</w:t>
      </w:r>
      <w:r>
        <w:rPr>
          <w:rFonts w:hint="eastAsia" w:cs="宋体" w:asciiTheme="minorEastAsia" w:hAnsiTheme="minorEastAsia" w:eastAsiaTheme="minorEastAsia"/>
          <w:szCs w:val="21"/>
        </w:rPr>
        <w:t>】（采用线上开具的情况除外，如：电子保险）。</w:t>
      </w:r>
    </w:p>
    <w:p w14:paraId="53DB6F22">
      <w:pPr>
        <w:spacing w:line="360" w:lineRule="auto"/>
        <w:ind w:right="489"/>
        <w:jc w:val="right"/>
        <w:rPr>
          <w:rFonts w:ascii="宋体" w:hAnsi="宋体"/>
          <w:szCs w:val="21"/>
        </w:rPr>
      </w:pPr>
      <w:r>
        <w:rPr>
          <w:rFonts w:hint="eastAsia" w:ascii="宋体" w:hAnsi="宋体"/>
          <w:szCs w:val="21"/>
        </w:rPr>
        <w:t>招标代理机构：福建省中通通信有限公司</w:t>
      </w:r>
    </w:p>
    <w:p w14:paraId="53B35907">
      <w:pPr>
        <w:pStyle w:val="10"/>
        <w:spacing w:line="360" w:lineRule="auto"/>
        <w:ind w:left="425" w:firstLine="0" w:firstLineChars="0"/>
        <w:jc w:val="center"/>
        <w:rPr>
          <w:rFonts w:ascii="宋体" w:hAnsi="宋体"/>
          <w:color w:val="FF0000"/>
          <w:szCs w:val="21"/>
        </w:rPr>
      </w:pPr>
      <w:r>
        <w:rPr>
          <w:rFonts w:hint="eastAsia" w:ascii="宋体" w:hAnsi="宋体"/>
          <w:szCs w:val="21"/>
        </w:rPr>
        <w:t xml:space="preserve">                       </w:t>
      </w:r>
      <w:r>
        <w:rPr>
          <w:rFonts w:hint="eastAsia" w:ascii="宋体" w:hAnsi="宋体"/>
          <w:color w:val="FF0000"/>
          <w:szCs w:val="21"/>
        </w:rPr>
        <w:t xml:space="preserve">  2025年</w:t>
      </w:r>
      <w:r>
        <w:rPr>
          <w:rFonts w:hint="eastAsia" w:ascii="宋体" w:hAnsi="宋体"/>
          <w:color w:val="FF0000"/>
          <w:szCs w:val="21"/>
          <w:lang w:val="en-US" w:eastAsia="zh-CN"/>
        </w:rPr>
        <w:t>08</w:t>
      </w:r>
      <w:r>
        <w:rPr>
          <w:rFonts w:hint="eastAsia" w:ascii="宋体" w:hAnsi="宋体"/>
          <w:color w:val="FF0000"/>
          <w:szCs w:val="21"/>
        </w:rPr>
        <w:t>月</w:t>
      </w:r>
      <w:r>
        <w:rPr>
          <w:rFonts w:hint="eastAsia" w:ascii="宋体" w:hAnsi="宋体"/>
          <w:color w:val="FF0000"/>
          <w:szCs w:val="21"/>
          <w:lang w:val="en-US" w:eastAsia="zh-CN"/>
        </w:rPr>
        <w:t>12</w:t>
      </w:r>
      <w:r>
        <w:rPr>
          <w:rFonts w:hint="eastAsia" w:ascii="宋体" w:hAnsi="宋体"/>
          <w:color w:val="FF0000"/>
          <w:szCs w:val="21"/>
        </w:rPr>
        <w:t>日</w:t>
      </w:r>
    </w:p>
    <w:p w14:paraId="0CFCB5B8">
      <w:pPr>
        <w:rPr>
          <w:rFonts w:hint="eastAsia" w:ascii="宋体" w:hAnsi="宋体" w:eastAsia="宋体" w:cs="宋体"/>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Yuanti SC Bold">
    <w:altName w:val="微软雅黑"/>
    <w:panose1 w:val="00000000000000000000"/>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汉仪中黑 197">
    <w:panose1 w:val="00020600040101010101"/>
    <w:charset w:val="86"/>
    <w:family w:val="auto"/>
    <w:pitch w:val="default"/>
    <w:sig w:usb0="A00002BF" w:usb1="18EF7CFA" w:usb2="00000016"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sdtPr>
    <w:sdtContent>
      <w:p w14:paraId="50DA9F63">
        <w:pPr>
          <w:pStyle w:val="5"/>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6</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A2984"/>
    <w:multiLevelType w:val="singleLevel"/>
    <w:tmpl w:val="EAEA298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3NDRiYjFkMmJkNDdkNGJjY2Q2NGU4YTA3OGQ0MzAifQ=="/>
  </w:docVars>
  <w:rsids>
    <w:rsidRoot w:val="00A35D76"/>
    <w:rsid w:val="00036301"/>
    <w:rsid w:val="00047CF2"/>
    <w:rsid w:val="000E357B"/>
    <w:rsid w:val="00122150"/>
    <w:rsid w:val="00193610"/>
    <w:rsid w:val="001B7B8B"/>
    <w:rsid w:val="002433B0"/>
    <w:rsid w:val="002C290C"/>
    <w:rsid w:val="00326EF1"/>
    <w:rsid w:val="003641BD"/>
    <w:rsid w:val="00480325"/>
    <w:rsid w:val="004B7151"/>
    <w:rsid w:val="004C0145"/>
    <w:rsid w:val="004C67D1"/>
    <w:rsid w:val="00532C6C"/>
    <w:rsid w:val="005D5A63"/>
    <w:rsid w:val="005D79D1"/>
    <w:rsid w:val="005F325A"/>
    <w:rsid w:val="00664996"/>
    <w:rsid w:val="00704FC2"/>
    <w:rsid w:val="008D28B6"/>
    <w:rsid w:val="008D31D5"/>
    <w:rsid w:val="009342BF"/>
    <w:rsid w:val="0093535B"/>
    <w:rsid w:val="00A15011"/>
    <w:rsid w:val="00A35D76"/>
    <w:rsid w:val="00AF02B1"/>
    <w:rsid w:val="00AF5EC3"/>
    <w:rsid w:val="00B77B64"/>
    <w:rsid w:val="00C0583D"/>
    <w:rsid w:val="00C43CC9"/>
    <w:rsid w:val="00C54746"/>
    <w:rsid w:val="00CD5BAC"/>
    <w:rsid w:val="00CF3E4C"/>
    <w:rsid w:val="00CF7F59"/>
    <w:rsid w:val="00D06B2C"/>
    <w:rsid w:val="00D123EF"/>
    <w:rsid w:val="00DB2CCF"/>
    <w:rsid w:val="00DF3234"/>
    <w:rsid w:val="00E0770A"/>
    <w:rsid w:val="00E30546"/>
    <w:rsid w:val="00E613B0"/>
    <w:rsid w:val="00E7312A"/>
    <w:rsid w:val="00EC048C"/>
    <w:rsid w:val="00EC0EF0"/>
    <w:rsid w:val="00F45205"/>
    <w:rsid w:val="00F5312C"/>
    <w:rsid w:val="0DAD4D7A"/>
    <w:rsid w:val="0F631DC1"/>
    <w:rsid w:val="0FBC30F4"/>
    <w:rsid w:val="1241311F"/>
    <w:rsid w:val="15FF71E4"/>
    <w:rsid w:val="16A80766"/>
    <w:rsid w:val="1A9058A9"/>
    <w:rsid w:val="1C166281"/>
    <w:rsid w:val="1CFF0AC4"/>
    <w:rsid w:val="224F429B"/>
    <w:rsid w:val="28237D5C"/>
    <w:rsid w:val="2B4A6FC2"/>
    <w:rsid w:val="2B710DDE"/>
    <w:rsid w:val="2C4B2EB7"/>
    <w:rsid w:val="30FA1876"/>
    <w:rsid w:val="31A10E50"/>
    <w:rsid w:val="36405F7D"/>
    <w:rsid w:val="36F01751"/>
    <w:rsid w:val="3F9133A5"/>
    <w:rsid w:val="412F71B4"/>
    <w:rsid w:val="43430E5B"/>
    <w:rsid w:val="49B22896"/>
    <w:rsid w:val="4B4A3A22"/>
    <w:rsid w:val="4EE31744"/>
    <w:rsid w:val="52793003"/>
    <w:rsid w:val="54035284"/>
    <w:rsid w:val="548E3F00"/>
    <w:rsid w:val="590E64BE"/>
    <w:rsid w:val="5C9B540C"/>
    <w:rsid w:val="5F1025B2"/>
    <w:rsid w:val="62257C51"/>
    <w:rsid w:val="649B3479"/>
    <w:rsid w:val="695F52F5"/>
    <w:rsid w:val="6DCF13B9"/>
    <w:rsid w:val="71F207F0"/>
    <w:rsid w:val="76AE4262"/>
    <w:rsid w:val="7B08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szCs w:val="20"/>
    </w:rPr>
  </w:style>
  <w:style w:type="paragraph" w:styleId="3">
    <w:name w:val="Normal Indent"/>
    <w:basedOn w:val="1"/>
    <w:link w:val="15"/>
    <w:autoRedefine/>
    <w:unhideWhenUsed/>
    <w:qFormat/>
    <w:uiPriority w:val="99"/>
    <w:pPr>
      <w:ind w:firstLine="420" w:firstLineChars="200"/>
    </w:pPr>
  </w:style>
  <w:style w:type="paragraph" w:styleId="4">
    <w:name w:val="annotation text"/>
    <w:basedOn w:val="1"/>
    <w:unhideWhenUsed/>
    <w:qFormat/>
    <w:uiPriority w:val="0"/>
    <w:pPr>
      <w:spacing w:after="160" w:line="276" w:lineRule="auto"/>
      <w:jc w:val="left"/>
    </w:pPr>
    <w:rPr>
      <w:rFonts w:ascii="Calibri" w:hAnsi="Calibri"/>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tabs>
        <w:tab w:val="center" w:pos="4153"/>
        <w:tab w:val="right" w:pos="8306"/>
      </w:tabs>
      <w:snapToGrid w:val="0"/>
      <w:jc w:val="center"/>
    </w:pPr>
    <w:rPr>
      <w:sz w:val="18"/>
      <w:szCs w:val="18"/>
    </w:rPr>
  </w:style>
  <w:style w:type="character" w:styleId="9">
    <w:name w:val="Hyperlink"/>
    <w:autoRedefine/>
    <w:qFormat/>
    <w:uiPriority w:val="99"/>
    <w:rPr>
      <w:color w:val="0000FF"/>
      <w:u w:val="single"/>
    </w:rPr>
  </w:style>
  <w:style w:type="paragraph" w:customStyle="1" w:styleId="10">
    <w:name w:val="列出段落1"/>
    <w:basedOn w:val="1"/>
    <w:link w:val="11"/>
    <w:unhideWhenUsed/>
    <w:qFormat/>
    <w:uiPriority w:val="0"/>
    <w:pPr>
      <w:ind w:firstLine="420" w:firstLineChars="200"/>
    </w:pPr>
  </w:style>
  <w:style w:type="character" w:customStyle="1" w:styleId="11">
    <w:name w:val="列出段落 Char"/>
    <w:link w:val="10"/>
    <w:autoRedefine/>
    <w:qFormat/>
    <w:uiPriority w:val="34"/>
    <w:rPr>
      <w:rFonts w:ascii="Times New Roman" w:hAnsi="Times New Roman" w:eastAsia="宋体" w:cs="Times New Roman"/>
      <w:szCs w:val="24"/>
      <w14:ligatures w14:val="none"/>
    </w:rPr>
  </w:style>
  <w:style w:type="character" w:customStyle="1" w:styleId="12">
    <w:name w:val="页眉 字符"/>
    <w:basedOn w:val="8"/>
    <w:link w:val="6"/>
    <w:autoRedefine/>
    <w:qFormat/>
    <w:uiPriority w:val="99"/>
    <w:rPr>
      <w:rFonts w:ascii="Times New Roman" w:hAnsi="Times New Roman" w:eastAsia="宋体" w:cs="Times New Roman"/>
      <w:sz w:val="18"/>
      <w:szCs w:val="18"/>
      <w14:ligatures w14:val="none"/>
    </w:rPr>
  </w:style>
  <w:style w:type="character" w:customStyle="1" w:styleId="13">
    <w:name w:val="页脚 字符"/>
    <w:basedOn w:val="8"/>
    <w:link w:val="5"/>
    <w:autoRedefine/>
    <w:qFormat/>
    <w:uiPriority w:val="99"/>
    <w:rPr>
      <w:rFonts w:ascii="Times New Roman" w:hAnsi="Times New Roman" w:eastAsia="宋体" w:cs="Times New Roman"/>
      <w:sz w:val="18"/>
      <w:szCs w:val="18"/>
      <w14:ligatures w14:val="none"/>
    </w:rPr>
  </w:style>
  <w:style w:type="character" w:customStyle="1" w:styleId="14">
    <w:name w:val="Unresolved Mention"/>
    <w:basedOn w:val="8"/>
    <w:autoRedefine/>
    <w:semiHidden/>
    <w:unhideWhenUsed/>
    <w:qFormat/>
    <w:uiPriority w:val="99"/>
    <w:rPr>
      <w:color w:val="605E5C"/>
      <w:shd w:val="clear" w:color="auto" w:fill="E1DFDD"/>
    </w:rPr>
  </w:style>
  <w:style w:type="character" w:customStyle="1" w:styleId="15">
    <w:name w:val="正文缩进 字符"/>
    <w:link w:val="3"/>
    <w:autoRedefine/>
    <w:qFormat/>
    <w:uiPriority w:val="99"/>
    <w:rPr>
      <w:rFonts w:ascii="Times New Roman" w:hAnsi="Times New Roman" w:eastAsia="宋体" w:cs="Times New Roman"/>
      <w:szCs w:val="24"/>
      <w14:ligatures w14:val="none"/>
    </w:rPr>
  </w:style>
  <w:style w:type="paragraph" w:styleId="16">
    <w:name w:val="List Paragraph"/>
    <w:basedOn w:val="1"/>
    <w:link w:val="17"/>
    <w:autoRedefine/>
    <w:unhideWhenUsed/>
    <w:qFormat/>
    <w:uiPriority w:val="34"/>
    <w:pPr>
      <w:ind w:firstLine="420" w:firstLineChars="200"/>
    </w:pPr>
  </w:style>
  <w:style w:type="character" w:customStyle="1" w:styleId="17">
    <w:name w:val="列表段落 字符"/>
    <w:link w:val="16"/>
    <w:autoRedefine/>
    <w:qFormat/>
    <w:uiPriority w:val="34"/>
    <w:rPr>
      <w:rFonts w:ascii="Times New Roman" w:hAnsi="Times New Roman" w:eastAsia="宋体" w:cs="Times New Roman"/>
      <w:szCs w:val="24"/>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2834</Words>
  <Characters>2976</Characters>
  <Lines>36</Lines>
  <Paragraphs>10</Paragraphs>
  <TotalTime>0</TotalTime>
  <ScaleCrop>false</ScaleCrop>
  <LinksUpToDate>false</LinksUpToDate>
  <CharactersWithSpaces>2991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2023-07-21T06:54:00Z</dcterms:created>
  <dc:creator>金拓 吴</dc:creator>
  <cp:lastModifiedBy>76876</cp:lastModifiedBy>
  <dcterms:modified xsi:type="dcterms:W3CDTF">2025-08-11T11:22:24Z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C6E1F114B3934E67BFB50912E94263B4_12</vt:lpwstr>
  </property>
  <property fmtid="{D5CDD505-2E9C-101B-9397-08002B2CF9AE}" pid="4" name="KSOTemplateDocerSaveRecord">
    <vt:lpwstr>eyJoZGlkIjoiZWRmN2NhMDY5MzBmZDkzOTJmODliOTBhMmMzNWJlYzYiLCJ1c2VySWQiOiIxNTEwNTczNjUxIn0=</vt:lpwstr>
  </property>
</Properties>
</file>