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EBE0D">
      <w:pPr>
        <w:snapToGrid w:val="0"/>
        <w:jc w:val="center"/>
        <w:rPr>
          <w:rFonts w:hint="eastAsia" w:ascii="仿宋" w:hAnsi="仿宋" w:eastAsia="宋体" w:cs="仿宋"/>
          <w:b/>
          <w:color w:val="000000"/>
          <w:sz w:val="44"/>
          <w:szCs w:val="44"/>
          <w:highlight w:val="none"/>
          <w:lang w:eastAsia="zh-CN"/>
        </w:rPr>
      </w:pPr>
      <w:r>
        <w:rPr>
          <w:rFonts w:hint="eastAsia" w:ascii="仿宋" w:hAnsi="仿宋" w:eastAsia="宋体" w:cs="仿宋"/>
          <w:b/>
          <w:color w:val="000000"/>
          <w:sz w:val="44"/>
          <w:szCs w:val="44"/>
          <w:highlight w:val="none"/>
          <w:lang w:eastAsia="zh-CN"/>
        </w:rPr>
        <w:t>中国银行泉州分行中心机房气体灭火系统改造项目</w:t>
      </w:r>
    </w:p>
    <w:p w14:paraId="7EDE3805">
      <w:pPr>
        <w:pStyle w:val="3"/>
        <w:spacing w:line="360" w:lineRule="auto"/>
      </w:pPr>
      <w:r>
        <w:rPr>
          <w:rFonts w:hint="eastAsia"/>
          <w:lang w:val="en-US" w:eastAsia="zh-CN"/>
        </w:rPr>
        <w:t>竞争性谈判公告</w:t>
      </w:r>
    </w:p>
    <w:p w14:paraId="4140C6C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本采购项目为【</w:t>
      </w:r>
      <w:r>
        <w:rPr>
          <w:rFonts w:hint="eastAsia" w:ascii="仿宋" w:hAnsi="仿宋" w:eastAsia="仿宋" w:cs="仿宋"/>
          <w:sz w:val="24"/>
          <w:szCs w:val="24"/>
          <w:highlight w:val="none"/>
          <w:lang w:val="en-US" w:eastAsia="zh-CN"/>
        </w:rPr>
        <w:t>中国银行泉州分行中心机房气体灭火系统改造项目</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val="en-US" w:eastAsia="zh-CN"/>
        </w:rPr>
        <w:t>FJZT-2025-11487</w:t>
      </w:r>
      <w:r>
        <w:rPr>
          <w:rFonts w:hint="eastAsia" w:ascii="仿宋" w:hAnsi="仿宋" w:eastAsia="仿宋" w:cs="仿宋"/>
          <w:sz w:val="24"/>
          <w:szCs w:val="24"/>
          <w:highlight w:val="none"/>
        </w:rPr>
        <w:t>】），采购人为【</w:t>
      </w:r>
      <w:r>
        <w:rPr>
          <w:rFonts w:hint="eastAsia" w:ascii="仿宋" w:hAnsi="仿宋" w:eastAsia="仿宋" w:cs="仿宋"/>
          <w:sz w:val="24"/>
          <w:szCs w:val="24"/>
          <w:highlight w:val="none"/>
          <w:lang w:val="en-US" w:eastAsia="zh-CN"/>
        </w:rPr>
        <w:t>中国银行股份有限公司泉州分行</w:t>
      </w:r>
      <w:r>
        <w:rPr>
          <w:rFonts w:hint="eastAsia" w:ascii="仿宋" w:hAnsi="仿宋" w:eastAsia="仿宋" w:cs="仿宋"/>
          <w:sz w:val="24"/>
          <w:szCs w:val="24"/>
          <w:highlight w:val="none"/>
        </w:rPr>
        <w:t>】，采购代理机构为【</w:t>
      </w:r>
      <w:r>
        <w:rPr>
          <w:rFonts w:hint="eastAsia" w:ascii="仿宋" w:hAnsi="仿宋" w:eastAsia="仿宋" w:cs="仿宋"/>
          <w:sz w:val="24"/>
          <w:szCs w:val="24"/>
          <w:highlight w:val="none"/>
          <w:lang w:eastAsia="zh-CN"/>
        </w:rPr>
        <w:t>福建省中通通信有限公司</w:t>
      </w:r>
      <w:r>
        <w:rPr>
          <w:rFonts w:hint="eastAsia" w:ascii="仿宋" w:hAnsi="仿宋" w:eastAsia="仿宋" w:cs="仿宋"/>
          <w:sz w:val="24"/>
          <w:szCs w:val="24"/>
          <w:highlight w:val="none"/>
        </w:rPr>
        <w:t>】。项目资金由采购人自筹，资金已落实。项目已具备竞争性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条件，现进行公开竞争性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，特邀请有意向的且具有提供标的物能力的潜在供应商（以下简称</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）参加竞争性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w:t>
      </w:r>
    </w:p>
    <w:p w14:paraId="3BF5303D">
      <w:pPr>
        <w:spacing w:line="360" w:lineRule="auto"/>
        <w:ind w:firstLine="482" w:firstLineChars="200"/>
        <w:outlineLvl w:val="1"/>
        <w:rPr>
          <w:rFonts w:hint="eastAsia" w:ascii="仿宋" w:hAnsi="仿宋" w:eastAsia="仿宋" w:cs="仿宋"/>
          <w:b/>
          <w:sz w:val="24"/>
          <w:szCs w:val="24"/>
          <w:highlight w:val="none"/>
        </w:rPr>
      </w:pPr>
      <w:bookmarkStart w:id="0" w:name="_Toc325969561"/>
      <w:bookmarkStart w:id="1" w:name="_Toc325969675"/>
      <w:bookmarkStart w:id="2" w:name="_Toc290647040"/>
      <w:bookmarkStart w:id="3" w:name="_Toc293927365"/>
      <w:bookmarkStart w:id="4" w:name="_Toc303850098"/>
      <w:bookmarkStart w:id="5" w:name="_Toc301955535"/>
      <w:bookmarkStart w:id="6" w:name="_Toc290841259"/>
      <w:bookmarkStart w:id="7" w:name="_Toc291713012"/>
      <w:bookmarkStart w:id="8" w:name="_Toc325969413"/>
      <w:bookmarkStart w:id="9" w:name="_Toc383529018"/>
      <w:bookmarkStart w:id="10" w:name="_Toc347770456"/>
      <w:bookmarkStart w:id="11" w:name="_Toc148111094"/>
      <w:bookmarkStart w:id="12" w:name="_Toc149224042"/>
      <w:bookmarkStart w:id="13" w:name="_Toc290394152"/>
      <w:bookmarkStart w:id="14" w:name="_Toc347771166"/>
      <w:bookmarkStart w:id="15" w:name="_Toc302465644"/>
      <w:bookmarkStart w:id="16" w:name="_Toc148110988"/>
      <w:bookmarkStart w:id="17" w:name="_Toc277169284"/>
      <w:bookmarkStart w:id="18" w:name="_Toc17094"/>
      <w:r>
        <w:rPr>
          <w:rFonts w:hint="eastAsia" w:ascii="仿宋" w:hAnsi="仿宋" w:eastAsia="仿宋" w:cs="仿宋"/>
          <w:b/>
          <w:sz w:val="24"/>
          <w:szCs w:val="24"/>
          <w:highlight w:val="none"/>
        </w:rPr>
        <w:t>一、项目名称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Pr>
          <w:rFonts w:hint="eastAsia" w:ascii="仿宋" w:hAnsi="仿宋" w:eastAsia="仿宋" w:cs="仿宋"/>
          <w:b/>
          <w:sz w:val="24"/>
          <w:szCs w:val="24"/>
          <w:highlight w:val="none"/>
        </w:rPr>
        <w:t>：</w:t>
      </w:r>
      <w:bookmarkEnd w:id="18"/>
    </w:p>
    <w:p w14:paraId="702E2ADC">
      <w:pPr>
        <w:spacing w:line="360" w:lineRule="auto"/>
        <w:ind w:right="-286" w:rightChars="-136"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中国银行泉州分行中心机房气体灭火系统改造项目</w:t>
      </w:r>
    </w:p>
    <w:p w14:paraId="29BC7996">
      <w:pPr>
        <w:spacing w:line="360" w:lineRule="auto"/>
        <w:ind w:firstLine="482" w:firstLineChars="200"/>
        <w:outlineLvl w:val="1"/>
        <w:rPr>
          <w:rFonts w:hint="eastAsia" w:ascii="仿宋" w:hAnsi="仿宋" w:eastAsia="仿宋" w:cs="仿宋"/>
          <w:b/>
          <w:sz w:val="24"/>
          <w:szCs w:val="24"/>
          <w:highlight w:val="none"/>
        </w:rPr>
      </w:pPr>
      <w:bookmarkStart w:id="19" w:name="_Toc325969562"/>
      <w:bookmarkStart w:id="20" w:name="_Toc293927366"/>
      <w:bookmarkStart w:id="21" w:name="_Toc148111095"/>
      <w:bookmarkStart w:id="22" w:name="_Toc303850099"/>
      <w:bookmarkStart w:id="23" w:name="_Toc347771167"/>
      <w:bookmarkStart w:id="24" w:name="_Toc291713013"/>
      <w:bookmarkStart w:id="25" w:name="_Toc290394153"/>
      <w:bookmarkStart w:id="26" w:name="_Toc149224043"/>
      <w:bookmarkStart w:id="27" w:name="_Toc290647041"/>
      <w:bookmarkStart w:id="28" w:name="_Toc302465645"/>
      <w:bookmarkStart w:id="29" w:name="_Toc290841260"/>
      <w:bookmarkStart w:id="30" w:name="_Toc383529019"/>
      <w:bookmarkStart w:id="31" w:name="_Toc347770457"/>
      <w:bookmarkStart w:id="32" w:name="_Toc301955536"/>
      <w:bookmarkStart w:id="33" w:name="_Toc277169285"/>
      <w:bookmarkStart w:id="34" w:name="_Toc325969676"/>
      <w:bookmarkStart w:id="35" w:name="_Toc325969414"/>
      <w:bookmarkStart w:id="36" w:name="_Toc148110989"/>
      <w:bookmarkStart w:id="37" w:name="_Toc30164"/>
      <w:r>
        <w:rPr>
          <w:rFonts w:hint="eastAsia" w:ascii="仿宋" w:hAnsi="仿宋" w:eastAsia="仿宋" w:cs="仿宋"/>
          <w:b/>
          <w:sz w:val="24"/>
          <w:szCs w:val="24"/>
          <w:highlight w:val="none"/>
        </w:rPr>
        <w:t>二、</w:t>
      </w:r>
      <w:r>
        <w:rPr>
          <w:rFonts w:hint="eastAsia" w:ascii="仿宋" w:hAnsi="仿宋" w:eastAsia="仿宋" w:cs="仿宋"/>
          <w:b/>
          <w:sz w:val="24"/>
          <w:szCs w:val="24"/>
          <w:highlight w:val="none"/>
          <w:lang w:val="en-US" w:eastAsia="zh-CN"/>
        </w:rPr>
        <w:t>项目</w:t>
      </w:r>
      <w:r>
        <w:rPr>
          <w:rFonts w:hint="eastAsia" w:ascii="仿宋" w:hAnsi="仿宋" w:eastAsia="仿宋" w:cs="仿宋"/>
          <w:b/>
          <w:sz w:val="24"/>
          <w:szCs w:val="24"/>
          <w:highlight w:val="none"/>
        </w:rPr>
        <w:t>编号</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Pr>
          <w:rFonts w:hint="eastAsia" w:ascii="仿宋" w:hAnsi="仿宋" w:eastAsia="仿宋" w:cs="仿宋"/>
          <w:b/>
          <w:sz w:val="24"/>
          <w:szCs w:val="24"/>
          <w:highlight w:val="none"/>
        </w:rPr>
        <w:t>：</w:t>
      </w:r>
      <w:bookmarkEnd w:id="37"/>
    </w:p>
    <w:p w14:paraId="67763A39">
      <w:pPr>
        <w:spacing w:line="360" w:lineRule="auto"/>
        <w:ind w:firstLine="480" w:firstLineChars="200"/>
        <w:outlineLvl w:val="9"/>
        <w:rPr>
          <w:rFonts w:hint="eastAsia" w:ascii="仿宋" w:hAnsi="仿宋" w:eastAsia="仿宋" w:cs="仿宋"/>
          <w:bCs/>
          <w:sz w:val="24"/>
          <w:szCs w:val="24"/>
          <w:highlight w:val="none"/>
        </w:rPr>
      </w:pPr>
      <w:bookmarkStart w:id="38" w:name="_Toc148111096"/>
      <w:bookmarkStart w:id="39" w:name="_Toc149224044"/>
      <w:bookmarkStart w:id="40" w:name="_Toc148110990"/>
      <w:bookmarkStart w:id="41" w:name="_Toc290394154"/>
      <w:bookmarkStart w:id="42" w:name="_Toc347771168"/>
      <w:bookmarkStart w:id="43" w:name="_Toc290841261"/>
      <w:bookmarkStart w:id="44" w:name="_Toc325969563"/>
      <w:bookmarkStart w:id="45" w:name="_Toc290647042"/>
      <w:bookmarkStart w:id="46" w:name="_Toc383529020"/>
      <w:bookmarkStart w:id="47" w:name="_Toc325969677"/>
      <w:bookmarkStart w:id="48" w:name="_Toc303850100"/>
      <w:bookmarkStart w:id="49" w:name="_Toc293927367"/>
      <w:bookmarkStart w:id="50" w:name="_Toc301955537"/>
      <w:bookmarkStart w:id="51" w:name="_Toc325969415"/>
      <w:bookmarkStart w:id="52" w:name="_Toc347770458"/>
      <w:bookmarkStart w:id="53" w:name="_Toc302465646"/>
      <w:bookmarkStart w:id="54" w:name="_Toc277169286"/>
      <w:bookmarkStart w:id="55" w:name="_Toc291713014"/>
      <w:r>
        <w:rPr>
          <w:rFonts w:hint="eastAsia" w:ascii="仿宋" w:hAnsi="仿宋" w:eastAsia="仿宋" w:cs="仿宋"/>
          <w:bCs/>
          <w:sz w:val="24"/>
          <w:szCs w:val="24"/>
          <w:highlight w:val="none"/>
        </w:rPr>
        <w:t>【</w:t>
      </w:r>
      <w:bookmarkEnd w:id="38"/>
      <w:bookmarkEnd w:id="39"/>
      <w:bookmarkEnd w:id="40"/>
      <w:r>
        <w:rPr>
          <w:rFonts w:hint="eastAsia" w:ascii="仿宋" w:hAnsi="仿宋" w:eastAsia="仿宋" w:cs="仿宋"/>
          <w:sz w:val="24"/>
          <w:szCs w:val="24"/>
          <w:highlight w:val="none"/>
          <w:lang w:val="en-US" w:eastAsia="zh-CN"/>
        </w:rPr>
        <w:t>FJZT-2025-11487</w:t>
      </w:r>
      <w:r>
        <w:rPr>
          <w:rFonts w:hint="eastAsia" w:ascii="仿宋" w:hAnsi="仿宋" w:eastAsia="仿宋" w:cs="仿宋"/>
          <w:bCs/>
          <w:sz w:val="24"/>
          <w:szCs w:val="24"/>
          <w:highlight w:val="none"/>
        </w:rPr>
        <w:t>】</w:t>
      </w:r>
    </w:p>
    <w:p w14:paraId="7481338B">
      <w:pPr>
        <w:spacing w:line="360" w:lineRule="auto"/>
        <w:ind w:firstLine="482" w:firstLineChars="200"/>
        <w:outlineLvl w:val="1"/>
        <w:rPr>
          <w:rFonts w:hint="eastAsia" w:ascii="仿宋" w:hAnsi="仿宋" w:eastAsia="仿宋" w:cs="仿宋"/>
          <w:b/>
          <w:sz w:val="24"/>
          <w:szCs w:val="24"/>
          <w:highlight w:val="none"/>
        </w:rPr>
      </w:pPr>
      <w:bookmarkStart w:id="56" w:name="_Toc149224045"/>
      <w:bookmarkStart w:id="57" w:name="_Toc148110991"/>
      <w:bookmarkStart w:id="58" w:name="_Toc148111097"/>
      <w:bookmarkStart w:id="59" w:name="_Toc6841"/>
      <w:r>
        <w:rPr>
          <w:rFonts w:hint="eastAsia" w:ascii="仿宋" w:hAnsi="仿宋" w:eastAsia="仿宋" w:cs="仿宋"/>
          <w:b/>
          <w:sz w:val="24"/>
          <w:szCs w:val="24"/>
          <w:highlight w:val="none"/>
        </w:rPr>
        <w:t>三、</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仿宋" w:hAnsi="仿宋" w:eastAsia="仿宋" w:cs="仿宋"/>
          <w:b/>
          <w:sz w:val="24"/>
          <w:szCs w:val="24"/>
          <w:highlight w:val="none"/>
        </w:rPr>
        <w:t>项目情况</w:t>
      </w:r>
      <w:bookmarkEnd w:id="56"/>
      <w:bookmarkEnd w:id="57"/>
      <w:bookmarkEnd w:id="58"/>
      <w:r>
        <w:rPr>
          <w:rFonts w:hint="eastAsia" w:ascii="仿宋" w:hAnsi="仿宋" w:eastAsia="仿宋" w:cs="仿宋"/>
          <w:b/>
          <w:sz w:val="24"/>
          <w:szCs w:val="24"/>
          <w:highlight w:val="none"/>
        </w:rPr>
        <w:t>：</w:t>
      </w:r>
      <w:bookmarkEnd w:id="59"/>
    </w:p>
    <w:p w14:paraId="58752804">
      <w:pPr>
        <w:spacing w:line="360" w:lineRule="auto"/>
        <w:ind w:firstLine="42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（一）采购内容：</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176"/>
        <w:gridCol w:w="1655"/>
        <w:gridCol w:w="2387"/>
        <w:gridCol w:w="2539"/>
      </w:tblGrid>
      <w:tr w14:paraId="6145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447" w:type="pct"/>
            <w:shd w:val="clear" w:color="000000" w:fill="F2F2F2"/>
            <w:noWrap/>
            <w:vAlign w:val="center"/>
          </w:tcPr>
          <w:p w14:paraId="3E7A2F0B">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序号</w:t>
            </w:r>
          </w:p>
        </w:tc>
        <w:tc>
          <w:tcPr>
            <w:tcW w:w="690" w:type="pct"/>
            <w:shd w:val="clear" w:color="000000" w:fill="F2F2F2"/>
            <w:noWrap/>
            <w:vAlign w:val="center"/>
          </w:tcPr>
          <w:p w14:paraId="69A00B98">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采购内容</w:t>
            </w:r>
          </w:p>
        </w:tc>
        <w:tc>
          <w:tcPr>
            <w:tcW w:w="971" w:type="pct"/>
            <w:shd w:val="clear" w:color="000000" w:fill="F2F2F2"/>
            <w:noWrap/>
            <w:vAlign w:val="center"/>
          </w:tcPr>
          <w:p w14:paraId="72524BCC">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数量（单位）</w:t>
            </w:r>
          </w:p>
        </w:tc>
        <w:tc>
          <w:tcPr>
            <w:tcW w:w="1400" w:type="pct"/>
            <w:shd w:val="clear" w:color="000000" w:fill="F2F2F2"/>
            <w:noWrap/>
            <w:vAlign w:val="center"/>
          </w:tcPr>
          <w:p w14:paraId="5F32800B">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技术要求</w:t>
            </w:r>
          </w:p>
        </w:tc>
        <w:tc>
          <w:tcPr>
            <w:tcW w:w="1490" w:type="pct"/>
            <w:shd w:val="clear" w:color="000000" w:fill="F2F2F2"/>
            <w:noWrap/>
            <w:vAlign w:val="center"/>
          </w:tcPr>
          <w:p w14:paraId="78DDBDDB">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最高限价         【元(含税)人民币】</w:t>
            </w:r>
          </w:p>
        </w:tc>
      </w:tr>
      <w:tr w14:paraId="7D72E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447" w:type="pct"/>
            <w:noWrap/>
            <w:vAlign w:val="center"/>
          </w:tcPr>
          <w:p w14:paraId="192DA039">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690" w:type="pct"/>
            <w:vAlign w:val="center"/>
          </w:tcPr>
          <w:p w14:paraId="35872239">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lang w:val="en-US" w:eastAsia="zh-CN"/>
              </w:rPr>
              <w:t>中国银行泉州分行中心机房气体灭火系统改造</w:t>
            </w:r>
          </w:p>
        </w:tc>
        <w:tc>
          <w:tcPr>
            <w:tcW w:w="971" w:type="pct"/>
            <w:vAlign w:val="center"/>
          </w:tcPr>
          <w:p w14:paraId="45457D78">
            <w:pPr>
              <w:widowControl/>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1批（详见采购工程量清单）</w:t>
            </w:r>
          </w:p>
        </w:tc>
        <w:tc>
          <w:tcPr>
            <w:tcW w:w="1400" w:type="pct"/>
            <w:vAlign w:val="center"/>
          </w:tcPr>
          <w:p w14:paraId="31699D1C">
            <w:pPr>
              <w:widowControl/>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sz w:val="24"/>
                <w:szCs w:val="24"/>
                <w:highlight w:val="none"/>
              </w:rPr>
              <w:t>具体内容详见</w:t>
            </w:r>
            <w:r>
              <w:rPr>
                <w:rFonts w:hint="eastAsia" w:ascii="仿宋" w:hAnsi="仿宋" w:eastAsia="仿宋" w:cs="仿宋"/>
                <w:sz w:val="24"/>
                <w:szCs w:val="24"/>
                <w:highlight w:val="none"/>
                <w:lang w:val="en-US" w:eastAsia="zh-CN"/>
              </w:rPr>
              <w:t>竞争性谈判</w:t>
            </w:r>
            <w:r>
              <w:rPr>
                <w:rFonts w:hint="eastAsia" w:ascii="仿宋" w:hAnsi="仿宋" w:eastAsia="仿宋" w:cs="仿宋"/>
                <w:sz w:val="24"/>
                <w:szCs w:val="24"/>
                <w:highlight w:val="none"/>
              </w:rPr>
              <w:t>文件第五部分采购需求书。</w:t>
            </w:r>
          </w:p>
        </w:tc>
        <w:tc>
          <w:tcPr>
            <w:tcW w:w="1490" w:type="pct"/>
            <w:vAlign w:val="center"/>
          </w:tcPr>
          <w:p w14:paraId="5D9E22EB">
            <w:pPr>
              <w:widowControl/>
              <w:spacing w:line="360" w:lineRule="auto"/>
              <w:jc w:val="center"/>
              <w:rPr>
                <w:rFonts w:hint="default" w:ascii="仿宋" w:hAnsi="仿宋" w:eastAsia="仿宋" w:cs="仿宋"/>
                <w:sz w:val="24"/>
                <w:szCs w:val="24"/>
                <w:highlight w:val="none"/>
                <w:lang w:val="en-US"/>
              </w:rPr>
            </w:pPr>
            <w:r>
              <w:rPr>
                <w:rFonts w:hint="eastAsia" w:ascii="仿宋" w:hAnsi="仿宋" w:eastAsia="仿宋" w:cs="仿宋"/>
                <w:sz w:val="24"/>
                <w:szCs w:val="24"/>
                <w:highlight w:val="none"/>
                <w:lang w:val="en-US" w:eastAsia="zh-CN"/>
              </w:rPr>
              <w:t>105313.00</w:t>
            </w:r>
          </w:p>
        </w:tc>
      </w:tr>
    </w:tbl>
    <w:p w14:paraId="51040AE0">
      <w:pPr>
        <w:spacing w:line="360" w:lineRule="auto"/>
        <w:ind w:firstLine="480" w:firstLineChars="2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预估规模：【</w:t>
      </w:r>
      <w:r>
        <w:rPr>
          <w:rFonts w:hint="eastAsia" w:ascii="仿宋" w:hAnsi="仿宋" w:eastAsia="仿宋" w:cs="仿宋"/>
          <w:sz w:val="24"/>
          <w:szCs w:val="24"/>
          <w:highlight w:val="none"/>
          <w:lang w:val="en-US" w:eastAsia="zh-CN"/>
        </w:rPr>
        <w:t>105313.00</w:t>
      </w:r>
      <w:r>
        <w:rPr>
          <w:rFonts w:hint="eastAsia" w:ascii="仿宋" w:hAnsi="仿宋" w:eastAsia="仿宋" w:cs="仿宋"/>
          <w:sz w:val="24"/>
          <w:szCs w:val="24"/>
          <w:highlight w:val="none"/>
        </w:rPr>
        <w:t>】元（</w:t>
      </w:r>
      <w:r>
        <w:rPr>
          <w:rFonts w:hint="eastAsia" w:ascii="仿宋" w:hAnsi="仿宋" w:eastAsia="仿宋" w:cs="仿宋"/>
          <w:sz w:val="24"/>
          <w:szCs w:val="24"/>
          <w:highlight w:val="none"/>
          <w:lang w:val="en-US" w:eastAsia="zh-CN"/>
        </w:rPr>
        <w:t>含税</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,具体详见（一）采购内容。</w:t>
      </w:r>
    </w:p>
    <w:p w14:paraId="678BADF9">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最高限价：</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val="en-US" w:eastAsia="zh-CN"/>
        </w:rPr>
        <w:t>详见（一）采购内容</w:t>
      </w:r>
      <w:r>
        <w:rPr>
          <w:rFonts w:hint="eastAsia" w:ascii="仿宋" w:hAnsi="仿宋" w:eastAsia="仿宋" w:cs="仿宋"/>
          <w:color w:val="FF0000"/>
          <w:sz w:val="24"/>
          <w:szCs w:val="24"/>
          <w:highlight w:val="none"/>
        </w:rPr>
        <w:t>】</w:t>
      </w:r>
      <w:r>
        <w:rPr>
          <w:rFonts w:hint="eastAsia" w:ascii="仿宋" w:hAnsi="仿宋" w:eastAsia="仿宋" w:cs="仿宋"/>
          <w:color w:val="FF0000"/>
          <w:sz w:val="24"/>
          <w:szCs w:val="24"/>
          <w:highlight w:val="none"/>
          <w:lang w:eastAsia="zh-CN"/>
        </w:rPr>
        <w:t>，</w:t>
      </w:r>
      <w:r>
        <w:rPr>
          <w:rFonts w:hint="eastAsia" w:ascii="仿宋" w:hAnsi="仿宋" w:eastAsia="仿宋" w:cs="仿宋"/>
          <w:sz w:val="24"/>
          <w:szCs w:val="24"/>
          <w:highlight w:val="none"/>
          <w:lang w:val="en-US" w:eastAsia="zh-CN"/>
        </w:rPr>
        <w:t>应答人应答</w:t>
      </w:r>
      <w:r>
        <w:rPr>
          <w:rFonts w:hint="eastAsia" w:ascii="仿宋" w:hAnsi="仿宋" w:eastAsia="仿宋" w:cs="仿宋"/>
          <w:sz w:val="24"/>
          <w:szCs w:val="24"/>
          <w:highlight w:val="none"/>
        </w:rPr>
        <w:t>报价高于最高限价的，其</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将被否决</w:t>
      </w:r>
      <w:r>
        <w:rPr>
          <w:rFonts w:hint="eastAsia" w:ascii="仿宋" w:hAnsi="仿宋" w:eastAsia="仿宋" w:cs="仿宋"/>
          <w:sz w:val="24"/>
          <w:szCs w:val="24"/>
          <w:highlight w:val="none"/>
          <w:lang w:eastAsia="zh-CN"/>
        </w:rPr>
        <w:t>。</w:t>
      </w:r>
    </w:p>
    <w:p w14:paraId="4D122A0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（3）采购</w:t>
      </w:r>
      <w:r>
        <w:rPr>
          <w:rFonts w:hint="eastAsia" w:ascii="仿宋" w:hAnsi="仿宋" w:eastAsia="仿宋" w:cs="仿宋"/>
          <w:sz w:val="24"/>
          <w:szCs w:val="24"/>
          <w:highlight w:val="none"/>
        </w:rPr>
        <w:t>包划分：本项目不划分</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包</w:t>
      </w:r>
      <w:r>
        <w:rPr>
          <w:rFonts w:hint="eastAsia" w:ascii="仿宋" w:hAnsi="仿宋" w:eastAsia="仿宋" w:cs="仿宋"/>
          <w:sz w:val="24"/>
          <w:szCs w:val="24"/>
          <w:highlight w:val="none"/>
          <w:lang w:val="en-US" w:eastAsia="zh-CN"/>
        </w:rPr>
        <w:t>。</w:t>
      </w:r>
    </w:p>
    <w:p w14:paraId="166E050C">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响应缺漏项处理：</w:t>
      </w:r>
      <w:r>
        <w:rPr>
          <w:rFonts w:hint="eastAsia" w:ascii="仿宋" w:hAnsi="仿宋" w:eastAsia="仿宋" w:cs="仿宋"/>
          <w:sz w:val="24"/>
          <w:szCs w:val="24"/>
          <w:highlight w:val="none"/>
          <w:lang w:eastAsia="zh-CN"/>
        </w:rPr>
        <w:t>应答人</w:t>
      </w:r>
      <w:r>
        <w:rPr>
          <w:rFonts w:hint="eastAsia" w:ascii="仿宋" w:hAnsi="仿宋" w:eastAsia="仿宋" w:cs="仿宋"/>
          <w:sz w:val="24"/>
          <w:szCs w:val="24"/>
          <w:highlight w:val="none"/>
        </w:rPr>
        <w:t>须对本项目所有货物及服务进行</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及报价，否则其</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将被拒绝。</w:t>
      </w:r>
    </w:p>
    <w:p w14:paraId="3CFF5123">
      <w:pPr>
        <w:spacing w:line="360" w:lineRule="auto"/>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人数量：</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家</w:t>
      </w:r>
      <w:r>
        <w:rPr>
          <w:rFonts w:hint="eastAsia" w:ascii="仿宋" w:hAnsi="仿宋" w:eastAsia="仿宋" w:cs="仿宋"/>
          <w:sz w:val="24"/>
          <w:szCs w:val="24"/>
          <w:highlight w:val="none"/>
          <w:lang w:eastAsia="zh-CN"/>
        </w:rPr>
        <w:t>。</w:t>
      </w:r>
    </w:p>
    <w:p w14:paraId="42197C04">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（6）设备生产制作与安装期限（交付期）：合同工期20天。</w:t>
      </w:r>
    </w:p>
    <w:p w14:paraId="27B9C9C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（7）安装地点：泉州市丰泽区（中国银行泉州分行）</w:t>
      </w:r>
      <w:r>
        <w:rPr>
          <w:rFonts w:hint="eastAsia" w:ascii="仿宋" w:hAnsi="仿宋" w:eastAsia="仿宋" w:cs="仿宋"/>
          <w:sz w:val="24"/>
          <w:szCs w:val="24"/>
          <w:highlight w:val="none"/>
          <w:lang w:val="zh-CN" w:eastAsia="zh-CN"/>
        </w:rPr>
        <w:t>。</w:t>
      </w:r>
    </w:p>
    <w:p w14:paraId="019A31F9">
      <w:pPr>
        <w:widowControl w:val="0"/>
        <w:spacing w:after="120" w:line="360" w:lineRule="auto"/>
        <w:ind w:firstLine="480" w:firstLineChars="20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（8）续签管理：不涉及。</w:t>
      </w:r>
    </w:p>
    <w:p w14:paraId="34A7EBA9">
      <w:pPr>
        <w:tabs>
          <w:tab w:val="left" w:pos="0"/>
          <w:tab w:val="left" w:pos="1260"/>
          <w:tab w:val="left" w:pos="1440"/>
        </w:tabs>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（9）投标保证金：【820】。</w:t>
      </w:r>
    </w:p>
    <w:p w14:paraId="104A93AE">
      <w:pPr>
        <w:widowControl w:val="0"/>
        <w:ind w:firstLine="480" w:firstLineChars="200"/>
        <w:jc w:val="both"/>
        <w:rPr>
          <w:rFonts w:hint="eastAsia" w:ascii="Calibri" w:hAnsi="Calibri" w:eastAsia="宋体" w:cs="Times New Roman"/>
          <w:kern w:val="2"/>
          <w:sz w:val="21"/>
          <w:szCs w:val="21"/>
          <w:highlight w:val="none"/>
          <w:lang w:val="en-US" w:eastAsia="zh-CN" w:bidi="ar-SA"/>
        </w:rPr>
      </w:pPr>
      <w:r>
        <w:rPr>
          <w:rFonts w:hint="eastAsia" w:ascii="仿宋" w:hAnsi="仿宋" w:eastAsia="仿宋" w:cs="仿宋"/>
          <w:kern w:val="2"/>
          <w:sz w:val="24"/>
          <w:szCs w:val="24"/>
          <w:highlight w:val="none"/>
          <w:lang w:val="en-US" w:eastAsia="zh-CN" w:bidi="ar-SA"/>
        </w:rPr>
        <w:t>（10）质保期【设备质保期≥2年，药剂充装质保期≥8年质保期内免费提供故障维修及药剂检测】。</w:t>
      </w:r>
    </w:p>
    <w:p w14:paraId="10FDD8C2">
      <w:pPr>
        <w:spacing w:line="360" w:lineRule="auto"/>
        <w:ind w:firstLine="42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（二）采购流程：</w:t>
      </w:r>
    </w:p>
    <w:p w14:paraId="590B7B2D">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 xml:space="preserve">    本项目将进行资格后审，资格审查标准和内容见竞争性</w:t>
      </w:r>
      <w:r>
        <w:rPr>
          <w:rFonts w:hint="eastAsia" w:ascii="仿宋" w:hAnsi="仿宋" w:eastAsia="仿宋" w:cs="仿宋"/>
          <w:bCs/>
          <w:sz w:val="24"/>
          <w:szCs w:val="24"/>
          <w:highlight w:val="none"/>
          <w:lang w:eastAsia="zh-CN"/>
        </w:rPr>
        <w:t>谈判</w:t>
      </w:r>
      <w:r>
        <w:rPr>
          <w:rFonts w:hint="eastAsia" w:ascii="仿宋" w:hAnsi="仿宋" w:eastAsia="仿宋" w:cs="仿宋"/>
          <w:bCs/>
          <w:sz w:val="24"/>
          <w:szCs w:val="24"/>
          <w:highlight w:val="none"/>
        </w:rPr>
        <w:t>文件第三</w:t>
      </w:r>
      <w:r>
        <w:rPr>
          <w:rFonts w:hint="eastAsia" w:ascii="仿宋" w:hAnsi="仿宋" w:eastAsia="仿宋" w:cs="仿宋"/>
          <w:bCs/>
          <w:sz w:val="24"/>
          <w:szCs w:val="24"/>
          <w:highlight w:val="none"/>
          <w:lang w:val="en-US" w:eastAsia="zh-CN"/>
        </w:rPr>
        <w:t>部分</w:t>
      </w:r>
      <w:r>
        <w:rPr>
          <w:rFonts w:hint="eastAsia" w:ascii="仿宋" w:hAnsi="仿宋" w:eastAsia="仿宋" w:cs="仿宋"/>
          <w:bCs/>
          <w:sz w:val="24"/>
          <w:szCs w:val="24"/>
          <w:highlight w:val="none"/>
        </w:rPr>
        <w:t>“评</w:t>
      </w:r>
      <w:r>
        <w:rPr>
          <w:rFonts w:hint="eastAsia" w:ascii="仿宋" w:hAnsi="仿宋" w:eastAsia="仿宋" w:cs="仿宋"/>
          <w:bCs/>
          <w:sz w:val="24"/>
          <w:szCs w:val="24"/>
          <w:highlight w:val="none"/>
          <w:lang w:val="en-US" w:eastAsia="zh-CN"/>
        </w:rPr>
        <w:t>分</w:t>
      </w:r>
      <w:r>
        <w:rPr>
          <w:rFonts w:hint="eastAsia" w:ascii="仿宋" w:hAnsi="仿宋" w:eastAsia="仿宋" w:cs="仿宋"/>
          <w:bCs/>
          <w:sz w:val="24"/>
          <w:szCs w:val="24"/>
          <w:highlight w:val="none"/>
        </w:rPr>
        <w:t>办法”，凡未通过资格后审的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 xml:space="preserve">，其应答将被否决。 </w:t>
      </w:r>
    </w:p>
    <w:p w14:paraId="4EDAE50E">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第一阶段：资格</w:t>
      </w:r>
      <w:r>
        <w:rPr>
          <w:rFonts w:hint="eastAsia" w:ascii="仿宋" w:hAnsi="仿宋" w:eastAsia="仿宋" w:cs="仿宋"/>
          <w:b/>
          <w:bCs/>
          <w:sz w:val="24"/>
          <w:szCs w:val="24"/>
          <w:highlight w:val="none"/>
          <w:lang w:val="en-US" w:eastAsia="zh-CN"/>
        </w:rPr>
        <w:t>评审</w:t>
      </w:r>
      <w:r>
        <w:rPr>
          <w:rFonts w:hint="eastAsia" w:ascii="仿宋" w:hAnsi="仿宋" w:eastAsia="仿宋" w:cs="仿宋"/>
          <w:b/>
          <w:bCs/>
          <w:sz w:val="24"/>
          <w:szCs w:val="24"/>
          <w:highlight w:val="none"/>
        </w:rPr>
        <w:t>：</w:t>
      </w:r>
    </w:p>
    <w:p w14:paraId="32210B8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1.采用公开方式邀请符合条件的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参与本项目。</w:t>
      </w:r>
    </w:p>
    <w:p w14:paraId="495B65AD">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2.</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须按要求在采购</w:t>
      </w:r>
      <w:r>
        <w:rPr>
          <w:rFonts w:hint="eastAsia" w:ascii="仿宋" w:hAnsi="仿宋" w:eastAsia="仿宋" w:cs="仿宋"/>
          <w:bCs/>
          <w:sz w:val="24"/>
          <w:szCs w:val="24"/>
          <w:highlight w:val="none"/>
          <w:lang w:val="en-US" w:eastAsia="zh-CN"/>
        </w:rPr>
        <w:t>代理机构</w:t>
      </w:r>
      <w:r>
        <w:rPr>
          <w:rFonts w:hint="eastAsia" w:ascii="仿宋" w:hAnsi="仿宋" w:eastAsia="仿宋" w:cs="仿宋"/>
          <w:bCs/>
          <w:sz w:val="24"/>
          <w:szCs w:val="24"/>
          <w:highlight w:val="none"/>
        </w:rPr>
        <w:t>处报名登记，并领取</w:t>
      </w:r>
      <w:r>
        <w:rPr>
          <w:rFonts w:hint="eastAsia" w:ascii="仿宋" w:hAnsi="仿宋" w:eastAsia="仿宋" w:cs="仿宋"/>
          <w:bCs/>
          <w:sz w:val="24"/>
          <w:szCs w:val="24"/>
          <w:highlight w:val="none"/>
          <w:lang w:eastAsia="zh-CN"/>
        </w:rPr>
        <w:t>竞争性谈判文件</w:t>
      </w:r>
      <w:r>
        <w:rPr>
          <w:rFonts w:hint="eastAsia" w:ascii="仿宋" w:hAnsi="仿宋" w:eastAsia="仿宋" w:cs="仿宋"/>
          <w:bCs/>
          <w:sz w:val="24"/>
          <w:szCs w:val="24"/>
          <w:highlight w:val="none"/>
        </w:rPr>
        <w:t>。各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须按照</w:t>
      </w:r>
      <w:r>
        <w:rPr>
          <w:rFonts w:hint="eastAsia" w:ascii="仿宋" w:hAnsi="仿宋" w:eastAsia="仿宋" w:cs="仿宋"/>
          <w:bCs/>
          <w:sz w:val="24"/>
          <w:szCs w:val="24"/>
          <w:highlight w:val="none"/>
          <w:lang w:eastAsia="zh-CN"/>
        </w:rPr>
        <w:t>竞争性谈判文件</w:t>
      </w:r>
      <w:r>
        <w:rPr>
          <w:rFonts w:hint="eastAsia" w:ascii="仿宋" w:hAnsi="仿宋" w:eastAsia="仿宋" w:cs="仿宋"/>
          <w:bCs/>
          <w:sz w:val="24"/>
          <w:szCs w:val="24"/>
          <w:highlight w:val="none"/>
        </w:rPr>
        <w:t>的要求，递交应答文件。</w:t>
      </w:r>
    </w:p>
    <w:p w14:paraId="47322326">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3.由</w:t>
      </w:r>
      <w:r>
        <w:rPr>
          <w:rFonts w:hint="eastAsia" w:ascii="仿宋" w:hAnsi="仿宋" w:eastAsia="仿宋" w:cs="仿宋"/>
          <w:bCs/>
          <w:sz w:val="24"/>
          <w:szCs w:val="24"/>
          <w:highlight w:val="none"/>
          <w:lang w:val="en-US" w:eastAsia="zh-CN"/>
        </w:rPr>
        <w:t>谈判</w:t>
      </w:r>
      <w:r>
        <w:rPr>
          <w:rFonts w:hint="eastAsia" w:ascii="仿宋" w:hAnsi="仿宋" w:eastAsia="仿宋" w:cs="仿宋"/>
          <w:bCs/>
          <w:sz w:val="24"/>
          <w:szCs w:val="24"/>
          <w:highlight w:val="none"/>
        </w:rPr>
        <w:t>小组对领取</w:t>
      </w:r>
      <w:r>
        <w:rPr>
          <w:rFonts w:hint="eastAsia" w:ascii="仿宋" w:hAnsi="仿宋" w:eastAsia="仿宋" w:cs="仿宋"/>
          <w:bCs/>
          <w:sz w:val="24"/>
          <w:szCs w:val="24"/>
          <w:highlight w:val="none"/>
          <w:lang w:eastAsia="zh-CN"/>
        </w:rPr>
        <w:t>竞争性谈判文件</w:t>
      </w:r>
      <w:r>
        <w:rPr>
          <w:rFonts w:hint="eastAsia" w:ascii="仿宋" w:hAnsi="仿宋" w:eastAsia="仿宋" w:cs="仿宋"/>
          <w:bCs/>
          <w:sz w:val="24"/>
          <w:szCs w:val="24"/>
          <w:highlight w:val="none"/>
        </w:rPr>
        <w:t>，并按规定时间递交应答文件的</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进行资格</w:t>
      </w:r>
      <w:r>
        <w:rPr>
          <w:rFonts w:hint="eastAsia" w:ascii="仿宋" w:hAnsi="仿宋" w:eastAsia="仿宋" w:cs="仿宋"/>
          <w:bCs/>
          <w:sz w:val="24"/>
          <w:szCs w:val="24"/>
          <w:highlight w:val="none"/>
          <w:lang w:val="en-US" w:eastAsia="zh-CN"/>
        </w:rPr>
        <w:t>后</w:t>
      </w:r>
      <w:r>
        <w:rPr>
          <w:rFonts w:hint="eastAsia" w:ascii="仿宋" w:hAnsi="仿宋" w:eastAsia="仿宋" w:cs="仿宋"/>
          <w:bCs/>
          <w:sz w:val="24"/>
          <w:szCs w:val="24"/>
          <w:highlight w:val="none"/>
        </w:rPr>
        <w:t>审。</w:t>
      </w:r>
    </w:p>
    <w:p w14:paraId="5941E374">
      <w:pPr>
        <w:spacing w:line="360" w:lineRule="auto"/>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第二阶段：</w:t>
      </w:r>
      <w:r>
        <w:rPr>
          <w:rFonts w:hint="eastAsia" w:ascii="仿宋" w:hAnsi="仿宋" w:eastAsia="仿宋" w:cs="仿宋"/>
          <w:b/>
          <w:bCs/>
          <w:sz w:val="24"/>
          <w:szCs w:val="24"/>
          <w:highlight w:val="none"/>
          <w:lang w:val="en-US" w:eastAsia="zh-CN"/>
        </w:rPr>
        <w:t>谈判</w:t>
      </w:r>
      <w:r>
        <w:rPr>
          <w:rFonts w:hint="eastAsia" w:ascii="仿宋" w:hAnsi="仿宋" w:eastAsia="仿宋" w:cs="仿宋"/>
          <w:b/>
          <w:bCs/>
          <w:sz w:val="24"/>
          <w:szCs w:val="24"/>
          <w:highlight w:val="none"/>
        </w:rPr>
        <w:t>及评审：</w:t>
      </w:r>
    </w:p>
    <w:p w14:paraId="63215682">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须按规定参加</w:t>
      </w:r>
      <w:r>
        <w:rPr>
          <w:rFonts w:hint="eastAsia" w:ascii="仿宋" w:hAnsi="仿宋" w:eastAsia="仿宋" w:cs="仿宋"/>
          <w:bCs/>
          <w:sz w:val="24"/>
          <w:szCs w:val="24"/>
          <w:highlight w:val="none"/>
          <w:lang w:val="en-US" w:eastAsia="zh-CN"/>
        </w:rPr>
        <w:t>谈判</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谈判</w:t>
      </w:r>
      <w:r>
        <w:rPr>
          <w:rFonts w:hint="eastAsia" w:ascii="仿宋" w:hAnsi="仿宋" w:eastAsia="仿宋" w:cs="仿宋"/>
          <w:bCs/>
          <w:sz w:val="24"/>
          <w:szCs w:val="24"/>
          <w:highlight w:val="none"/>
        </w:rPr>
        <w:t>小组将在规定时间内与</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进行二轮或多轮</w:t>
      </w:r>
      <w:r>
        <w:rPr>
          <w:rFonts w:hint="eastAsia" w:ascii="仿宋" w:hAnsi="仿宋" w:eastAsia="仿宋" w:cs="仿宋"/>
          <w:bCs/>
          <w:sz w:val="24"/>
          <w:szCs w:val="24"/>
          <w:highlight w:val="none"/>
          <w:lang w:eastAsia="zh-CN"/>
        </w:rPr>
        <w:t>谈判，</w:t>
      </w:r>
      <w:r>
        <w:rPr>
          <w:rFonts w:hint="eastAsia" w:ascii="仿宋" w:hAnsi="仿宋" w:eastAsia="仿宋" w:cs="仿宋"/>
          <w:bCs/>
          <w:sz w:val="24"/>
          <w:szCs w:val="24"/>
          <w:highlight w:val="none"/>
          <w:lang w:val="en-US" w:eastAsia="zh-CN"/>
        </w:rPr>
        <w:t>谈判</w:t>
      </w:r>
      <w:r>
        <w:rPr>
          <w:rFonts w:hint="eastAsia" w:ascii="仿宋" w:hAnsi="仿宋" w:eastAsia="仿宋" w:cs="仿宋"/>
          <w:bCs/>
          <w:sz w:val="24"/>
          <w:szCs w:val="24"/>
          <w:highlight w:val="none"/>
        </w:rPr>
        <w:t>内容包括且不限于商务部分、技术方案部分、服务部分、价格部分等。</w:t>
      </w:r>
    </w:p>
    <w:p w14:paraId="5B506720">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eastAsia="zh-CN"/>
        </w:rPr>
        <w:t>2.</w:t>
      </w:r>
      <w:r>
        <w:rPr>
          <w:rFonts w:hint="eastAsia" w:ascii="仿宋" w:hAnsi="仿宋" w:eastAsia="仿宋" w:cs="仿宋"/>
          <w:bCs/>
          <w:sz w:val="24"/>
          <w:szCs w:val="24"/>
          <w:highlight w:val="none"/>
        </w:rPr>
        <w:t>采购人将根据最终评审结果，确定不多于</w:t>
      </w:r>
      <w:r>
        <w:rPr>
          <w:rFonts w:hint="eastAsia" w:ascii="仿宋" w:hAnsi="仿宋" w:eastAsia="仿宋" w:cs="仿宋"/>
          <w:bCs/>
          <w:sz w:val="24"/>
          <w:szCs w:val="24"/>
          <w:highlight w:val="none"/>
          <w:lang w:val="en-US" w:eastAsia="zh-CN"/>
        </w:rPr>
        <w:t>一</w:t>
      </w:r>
      <w:r>
        <w:rPr>
          <w:rFonts w:hint="eastAsia" w:ascii="仿宋" w:hAnsi="仿宋" w:eastAsia="仿宋" w:cs="仿宋"/>
          <w:bCs/>
          <w:sz w:val="24"/>
          <w:szCs w:val="24"/>
          <w:highlight w:val="none"/>
        </w:rPr>
        <w:t>名的拟授予合同</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。如采购人今后政策发生变化或客观实际情况发生变化，采购人有权利单方面中止与</w:t>
      </w:r>
      <w:r>
        <w:rPr>
          <w:rFonts w:hint="eastAsia" w:ascii="仿宋" w:hAnsi="仿宋" w:eastAsia="仿宋" w:cs="仿宋"/>
          <w:bCs/>
          <w:sz w:val="24"/>
          <w:szCs w:val="24"/>
          <w:highlight w:val="none"/>
          <w:lang w:eastAsia="zh-CN"/>
        </w:rPr>
        <w:t>应答人</w:t>
      </w:r>
      <w:r>
        <w:rPr>
          <w:rFonts w:hint="eastAsia" w:ascii="仿宋" w:hAnsi="仿宋" w:eastAsia="仿宋" w:cs="仿宋"/>
          <w:bCs/>
          <w:sz w:val="24"/>
          <w:szCs w:val="24"/>
          <w:highlight w:val="none"/>
        </w:rPr>
        <w:t>的合同。</w:t>
      </w:r>
    </w:p>
    <w:p w14:paraId="40AECC3D">
      <w:pPr>
        <w:spacing w:line="360" w:lineRule="auto"/>
        <w:ind w:firstLine="361" w:firstLineChars="150"/>
        <w:outlineLvl w:val="1"/>
        <w:rPr>
          <w:rFonts w:hint="eastAsia" w:ascii="仿宋" w:hAnsi="仿宋" w:eastAsia="仿宋" w:cs="仿宋"/>
          <w:b/>
          <w:sz w:val="24"/>
          <w:szCs w:val="24"/>
          <w:highlight w:val="none"/>
        </w:rPr>
      </w:pPr>
      <w:bookmarkStart w:id="60" w:name="_Toc347770459"/>
      <w:bookmarkStart w:id="61" w:name="_Toc347771169"/>
      <w:bookmarkStart w:id="62" w:name="_Toc325969564"/>
      <w:bookmarkStart w:id="63" w:name="_Toc277169287"/>
      <w:bookmarkStart w:id="64" w:name="_Toc290394155"/>
      <w:bookmarkStart w:id="65" w:name="_Toc301955538"/>
      <w:bookmarkStart w:id="66" w:name="_Toc325969678"/>
      <w:bookmarkStart w:id="67" w:name="_Toc290647043"/>
      <w:bookmarkStart w:id="68" w:name="_Toc303850101"/>
      <w:bookmarkStart w:id="69" w:name="_Toc293927368"/>
      <w:bookmarkStart w:id="70" w:name="_Toc302465647"/>
      <w:bookmarkStart w:id="71" w:name="_Toc325969416"/>
      <w:bookmarkStart w:id="72" w:name="_Toc291713015"/>
      <w:bookmarkStart w:id="73" w:name="_Toc290841262"/>
      <w:bookmarkStart w:id="74" w:name="_Toc383529021"/>
      <w:bookmarkStart w:id="75" w:name="_Toc148110992"/>
      <w:bookmarkStart w:id="76" w:name="_Toc148111098"/>
      <w:bookmarkStart w:id="77" w:name="_Toc149224046"/>
      <w:bookmarkStart w:id="78" w:name="_Toc32140"/>
      <w:r>
        <w:rPr>
          <w:rFonts w:hint="eastAsia" w:ascii="仿宋" w:hAnsi="仿宋" w:eastAsia="仿宋" w:cs="仿宋"/>
          <w:b/>
          <w:sz w:val="24"/>
          <w:szCs w:val="24"/>
          <w:highlight w:val="none"/>
        </w:rPr>
        <w:t>四、</w:t>
      </w:r>
      <w:r>
        <w:rPr>
          <w:rFonts w:hint="eastAsia" w:ascii="仿宋" w:hAnsi="仿宋" w:eastAsia="仿宋" w:cs="仿宋"/>
          <w:b/>
          <w:sz w:val="24"/>
          <w:szCs w:val="24"/>
          <w:highlight w:val="none"/>
          <w:lang w:eastAsia="zh-CN"/>
        </w:rPr>
        <w:t>有效应答人</w:t>
      </w:r>
      <w:r>
        <w:rPr>
          <w:rFonts w:hint="eastAsia" w:ascii="仿宋" w:hAnsi="仿宋" w:eastAsia="仿宋" w:cs="仿宋"/>
          <w:b/>
          <w:sz w:val="24"/>
          <w:szCs w:val="24"/>
          <w:highlight w:val="none"/>
        </w:rPr>
        <w:t>的基本资质要求</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Pr>
          <w:rFonts w:hint="eastAsia" w:ascii="仿宋" w:hAnsi="仿宋" w:eastAsia="仿宋" w:cs="仿宋"/>
          <w:b/>
          <w:sz w:val="24"/>
          <w:szCs w:val="24"/>
          <w:highlight w:val="none"/>
        </w:rPr>
        <w:t xml:space="preserve"> （须同时满足）</w:t>
      </w:r>
      <w:bookmarkEnd w:id="75"/>
      <w:bookmarkEnd w:id="76"/>
      <w:bookmarkEnd w:id="77"/>
      <w:r>
        <w:rPr>
          <w:rFonts w:hint="eastAsia" w:ascii="仿宋" w:hAnsi="仿宋" w:eastAsia="仿宋" w:cs="仿宋"/>
          <w:b/>
          <w:sz w:val="24"/>
          <w:szCs w:val="24"/>
          <w:highlight w:val="none"/>
        </w:rPr>
        <w:t>：</w:t>
      </w:r>
      <w:bookmarkEnd w:id="78"/>
    </w:p>
    <w:p w14:paraId="7CEC119F">
      <w:pPr>
        <w:tabs>
          <w:tab w:val="left" w:pos="0"/>
          <w:tab w:val="left" w:pos="1260"/>
          <w:tab w:val="left" w:pos="1440"/>
        </w:tabs>
        <w:spacing w:line="360" w:lineRule="auto"/>
        <w:ind w:left="525"/>
        <w:rPr>
          <w:rFonts w:hint="eastAsia" w:ascii="仿宋" w:hAnsi="仿宋" w:eastAsia="仿宋" w:cs="仿宋"/>
          <w:sz w:val="24"/>
          <w:szCs w:val="24"/>
          <w:highlight w:val="none"/>
        </w:rPr>
      </w:pPr>
      <w:r>
        <w:rPr>
          <w:rFonts w:hint="eastAsia" w:ascii="仿宋" w:hAnsi="仿宋" w:eastAsia="仿宋" w:cs="仿宋"/>
          <w:sz w:val="24"/>
          <w:szCs w:val="24"/>
          <w:highlight w:val="none"/>
        </w:rPr>
        <w:t>（一）</w:t>
      </w:r>
      <w:r>
        <w:rPr>
          <w:rFonts w:hint="eastAsia" w:ascii="仿宋" w:hAnsi="仿宋" w:eastAsia="仿宋" w:cs="仿宋"/>
          <w:b/>
          <w:bCs/>
          <w:sz w:val="24"/>
          <w:szCs w:val="24"/>
          <w:highlight w:val="none"/>
          <w:lang w:eastAsia="zh-CN"/>
        </w:rPr>
        <w:t>应答人</w:t>
      </w:r>
      <w:r>
        <w:rPr>
          <w:rFonts w:hint="eastAsia" w:ascii="仿宋" w:hAnsi="仿宋" w:eastAsia="仿宋" w:cs="仿宋"/>
          <w:b/>
          <w:bCs/>
          <w:sz w:val="24"/>
          <w:szCs w:val="24"/>
          <w:highlight w:val="none"/>
        </w:rPr>
        <w:t>及所报产品的资质要求如下：</w:t>
      </w:r>
    </w:p>
    <w:p w14:paraId="3B858E07">
      <w:pPr>
        <w:spacing w:line="360" w:lineRule="auto"/>
        <w:ind w:firstLine="723" w:firstLineChars="300"/>
        <w:rPr>
          <w:rFonts w:hint="eastAsia" w:ascii="仿宋" w:hAnsi="仿宋" w:eastAsia="仿宋" w:cs="仿宋"/>
          <w:bCs/>
          <w:sz w:val="24"/>
          <w:szCs w:val="24"/>
          <w:highlight w:val="none"/>
        </w:rPr>
      </w:pPr>
      <w:r>
        <w:rPr>
          <w:rFonts w:hint="eastAsia" w:ascii="仿宋" w:hAnsi="仿宋" w:eastAsia="仿宋" w:cs="仿宋"/>
          <w:b/>
          <w:bCs w:val="0"/>
          <w:kern w:val="2"/>
          <w:sz w:val="24"/>
          <w:szCs w:val="24"/>
          <w:highlight w:val="none"/>
          <w:shd w:val="clear" w:color="auto" w:fill="FFFFFF"/>
          <w:lang w:val="en-US" w:eastAsia="zh-CN"/>
        </w:rPr>
        <w:t>1.企业能力：</w:t>
      </w:r>
      <w:r>
        <w:rPr>
          <w:rFonts w:hint="eastAsia" w:ascii="仿宋" w:hAnsi="仿宋" w:eastAsia="仿宋" w:cs="仿宋"/>
          <w:bCs/>
          <w:kern w:val="2"/>
          <w:sz w:val="24"/>
          <w:szCs w:val="24"/>
          <w:highlight w:val="none"/>
          <w:shd w:val="clear" w:color="auto" w:fill="FFFFFF"/>
          <w:lang w:val="en-US" w:eastAsia="zh-CN"/>
        </w:rPr>
        <w:t>应答人</w:t>
      </w:r>
      <w:r>
        <w:rPr>
          <w:rFonts w:hint="eastAsia" w:ascii="仿宋" w:hAnsi="仿宋" w:eastAsia="仿宋" w:cs="仿宋"/>
          <w:bCs/>
          <w:kern w:val="2"/>
          <w:sz w:val="24"/>
          <w:szCs w:val="24"/>
          <w:highlight w:val="none"/>
          <w:shd w:val="clear" w:color="auto" w:fill="FFFFFF"/>
        </w:rPr>
        <w:t>须具有独立承担民事责任的能力，遵守法律、法规，具有良好的商业信誉和健全的财务会计制度</w:t>
      </w:r>
      <w:r>
        <w:rPr>
          <w:rFonts w:hint="eastAsia" w:ascii="仿宋" w:hAnsi="仿宋" w:eastAsia="仿宋" w:cs="仿宋"/>
          <w:sz w:val="24"/>
          <w:szCs w:val="24"/>
          <w:highlight w:val="none"/>
        </w:rPr>
        <w:t>。</w:t>
      </w:r>
    </w:p>
    <w:p w14:paraId="56937CF0">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sz w:val="24"/>
          <w:szCs w:val="24"/>
          <w:highlight w:val="none"/>
          <w:lang w:val="en-US" w:eastAsia="zh-CN"/>
        </w:rPr>
        <w:t>2.</w:t>
      </w:r>
      <w:r>
        <w:rPr>
          <w:rFonts w:hint="eastAsia" w:ascii="仿宋" w:hAnsi="仿宋" w:eastAsia="仿宋" w:cs="仿宋"/>
          <w:bCs/>
          <w:kern w:val="2"/>
          <w:sz w:val="24"/>
          <w:szCs w:val="24"/>
          <w:highlight w:val="none"/>
          <w:shd w:val="clear" w:color="auto" w:fill="FFFFFF"/>
          <w:lang w:val="en-US" w:eastAsia="zh-CN"/>
        </w:rPr>
        <w:t>供应商在近三年内不存在围串标等采购违规行为处罚记录。</w:t>
      </w:r>
    </w:p>
    <w:p w14:paraId="249D3011">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3.供应商不得为本项目（标段）的前期准备或者监理工作提供设计、咨询服务的任何法人及其任何附属机构（单位）；供应商不得为本项目（标段）的监理单位、招标代理机构、造价咨询单位、代建单位或全过程工程咨询单位。</w:t>
      </w:r>
    </w:p>
    <w:p w14:paraId="5A1DAF34">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4.供应商需同时具备住房和城乡建设主管部门核发有效的不低于二级消防设施工程专业承包资质和住房和城乡建设主管部门核发有效安全生产许可证。</w:t>
      </w:r>
    </w:p>
    <w:p w14:paraId="479FCC2A">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注：上述证书如已按国家发布的《建设工程企业资质管理制度改革方案》进行换证，则按照相应政策调整文件认定企业资质。</w:t>
      </w:r>
    </w:p>
    <w:p w14:paraId="00DAA16D">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至</w:t>
      </w:r>
      <w:r>
        <w:rPr>
          <w:rFonts w:hint="eastAsia" w:ascii="仿宋" w:hAnsi="仿宋" w:eastAsia="仿宋" w:cs="仿宋"/>
          <w:b w:val="0"/>
          <w:bCs/>
          <w:sz w:val="24"/>
          <w:szCs w:val="24"/>
          <w:highlight w:val="none"/>
        </w:rPr>
        <w:t>应答</w:t>
      </w:r>
      <w:r>
        <w:rPr>
          <w:rFonts w:hint="eastAsia" w:ascii="仿宋" w:hAnsi="仿宋" w:eastAsia="仿宋" w:cs="仿宋"/>
          <w:bCs/>
          <w:kern w:val="2"/>
          <w:sz w:val="24"/>
          <w:szCs w:val="24"/>
          <w:highlight w:val="none"/>
          <w:shd w:val="clear" w:color="auto" w:fill="FFFFFF"/>
          <w:lang w:val="en-US" w:eastAsia="zh-CN"/>
        </w:rPr>
        <w:t>截止时间，若企业的资质证书上注明的有效期已超期的（若证书已延续成功但尚未发放新证的，需同时提供延续证明材料扫描件）：</w:t>
      </w:r>
    </w:p>
    <w:p w14:paraId="14DCD02A">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 xml:space="preserve">1）住房城乡建设部审批核发的建设工程企业资质，应提供住房城乡建设部发布的资质延期文件。 </w:t>
      </w:r>
    </w:p>
    <w:p w14:paraId="42BB38BC">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2）各级资质审批部门在审批权限内核发的建设工程企业资质，应提供相应资质审批部门或其上级部门发布的资质延期文件。</w:t>
      </w:r>
    </w:p>
    <w:p w14:paraId="4AEB9E73">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6.配备一名项目负责人（即项目经理）：须具备有效的不低于一级注册消防工程师 ，并具备有效的安全生产考核合格证书（B证）。</w:t>
      </w:r>
    </w:p>
    <w:p w14:paraId="427C767B">
      <w:pPr>
        <w:spacing w:line="360" w:lineRule="auto"/>
        <w:ind w:firstLine="720" w:firstLineChars="300"/>
        <w:rPr>
          <w:rFonts w:hint="eastAsia" w:ascii="仿宋" w:hAnsi="仿宋" w:eastAsia="仿宋" w:cs="仿宋"/>
          <w:bCs/>
          <w:kern w:val="2"/>
          <w:sz w:val="24"/>
          <w:szCs w:val="24"/>
          <w:highlight w:val="none"/>
          <w:shd w:val="clear" w:color="auto" w:fill="FFFFFF"/>
          <w:lang w:val="en-US" w:eastAsia="zh-CN"/>
        </w:rPr>
      </w:pPr>
      <w:r>
        <w:rPr>
          <w:rFonts w:hint="eastAsia" w:ascii="仿宋" w:hAnsi="仿宋" w:eastAsia="仿宋" w:cs="仿宋"/>
          <w:bCs/>
          <w:kern w:val="2"/>
          <w:sz w:val="24"/>
          <w:szCs w:val="24"/>
          <w:highlight w:val="none"/>
          <w:shd w:val="clear" w:color="auto" w:fill="FFFFFF"/>
          <w:lang w:val="en-US" w:eastAsia="zh-CN"/>
        </w:rPr>
        <w:t>7.类似工程业绩要求：1 个。【“类似工程业绩”是指：自本竞争性谈判项目在法定媒介发布竞争性谈判公告之日的前五年内（含本竞争性谈判项目在法定媒介发布竞争性谈判公告之日）完成的并经竣工验收合格的单项合同额在10万元以上建筑消防设施工程施工项目。】</w:t>
      </w:r>
    </w:p>
    <w:p w14:paraId="6DA619BA">
      <w:pPr>
        <w:spacing w:line="360" w:lineRule="auto"/>
        <w:ind w:left="36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（二）其他必须满足的要求：</w:t>
      </w:r>
    </w:p>
    <w:p w14:paraId="73DA9CB3">
      <w:pPr>
        <w:spacing w:line="360" w:lineRule="auto"/>
        <w:ind w:firstLine="482" w:firstLineChars="200"/>
        <w:rPr>
          <w:rFonts w:hint="eastAsia" w:ascii="仿宋" w:hAnsi="仿宋" w:eastAsia="仿宋" w:cs="仿宋"/>
          <w:b/>
          <w:bCs w:val="0"/>
          <w:kern w:val="2"/>
          <w:sz w:val="24"/>
          <w:szCs w:val="24"/>
          <w:highlight w:val="none"/>
          <w:shd w:val="clear" w:color="auto" w:fill="FFFFFF"/>
          <w:lang w:val="en-US" w:eastAsia="zh-CN"/>
        </w:rPr>
      </w:pPr>
      <w:r>
        <w:rPr>
          <w:rFonts w:hint="eastAsia" w:ascii="仿宋" w:hAnsi="仿宋" w:eastAsia="仿宋" w:cs="仿宋"/>
          <w:b/>
          <w:bCs w:val="0"/>
          <w:kern w:val="2"/>
          <w:sz w:val="24"/>
          <w:szCs w:val="24"/>
          <w:highlight w:val="none"/>
          <w:shd w:val="clear" w:color="auto" w:fill="FFFFFF"/>
          <w:lang w:val="en-US" w:eastAsia="zh-CN"/>
        </w:rPr>
        <w:t>1.营业执照：</w:t>
      </w:r>
      <w:r>
        <w:rPr>
          <w:rFonts w:hint="eastAsia" w:ascii="仿宋" w:hAnsi="仿宋" w:eastAsia="仿宋" w:cs="仿宋"/>
          <w:b w:val="0"/>
          <w:bCs/>
          <w:kern w:val="2"/>
          <w:sz w:val="24"/>
          <w:szCs w:val="24"/>
          <w:highlight w:val="none"/>
          <w:shd w:val="clear" w:color="auto" w:fill="FFFFFF"/>
          <w:lang w:val="en-US" w:eastAsia="zh-CN"/>
        </w:rPr>
        <w:t>应答人须在法律和财务上独立、合法运作并独立于采购人和代理机构，不得直接或间接地与采购人或其附属机构有任何关联，须具备符合我行采购需求的经营范围。</w:t>
      </w:r>
    </w:p>
    <w:p w14:paraId="1639AD39">
      <w:pPr>
        <w:spacing w:line="360" w:lineRule="auto"/>
        <w:ind w:firstLine="482" w:firstLineChars="200"/>
        <w:rPr>
          <w:rFonts w:hint="eastAsia" w:ascii="仿宋" w:hAnsi="仿宋" w:eastAsia="仿宋" w:cs="仿宋"/>
          <w:b/>
          <w:bCs w:val="0"/>
          <w:kern w:val="2"/>
          <w:sz w:val="24"/>
          <w:szCs w:val="24"/>
          <w:highlight w:val="none"/>
          <w:shd w:val="clear" w:color="auto" w:fill="FFFFFF"/>
          <w:lang w:val="en-US" w:eastAsia="zh-CN"/>
        </w:rPr>
      </w:pPr>
      <w:r>
        <w:rPr>
          <w:rFonts w:hint="eastAsia" w:ascii="仿宋" w:hAnsi="仿宋" w:eastAsia="仿宋" w:cs="仿宋"/>
          <w:b/>
          <w:bCs w:val="0"/>
          <w:kern w:val="2"/>
          <w:sz w:val="24"/>
          <w:szCs w:val="24"/>
          <w:highlight w:val="none"/>
          <w:shd w:val="clear" w:color="auto" w:fill="FFFFFF"/>
          <w:lang w:val="en-US" w:eastAsia="zh-CN"/>
        </w:rPr>
        <w:t>2.应答要求：</w:t>
      </w:r>
    </w:p>
    <w:p w14:paraId="24CA061B">
      <w:pPr>
        <w:spacing w:line="360" w:lineRule="auto"/>
        <w:ind w:firstLine="480" w:firstLineChars="200"/>
        <w:rPr>
          <w:rFonts w:hint="eastAsia" w:ascii="仿宋" w:hAnsi="仿宋" w:eastAsia="仿宋" w:cs="仿宋"/>
          <w:b w:val="0"/>
          <w:bCs/>
          <w:kern w:val="2"/>
          <w:sz w:val="24"/>
          <w:szCs w:val="24"/>
          <w:highlight w:val="none"/>
          <w:shd w:val="clear" w:color="auto" w:fill="FFFFFF"/>
          <w:lang w:val="en-US" w:eastAsia="zh-CN"/>
        </w:rPr>
      </w:pPr>
      <w:r>
        <w:rPr>
          <w:rFonts w:hint="eastAsia" w:ascii="仿宋" w:hAnsi="仿宋" w:eastAsia="仿宋" w:cs="仿宋"/>
          <w:b w:val="0"/>
          <w:bCs/>
          <w:kern w:val="2"/>
          <w:sz w:val="24"/>
          <w:szCs w:val="24"/>
          <w:highlight w:val="none"/>
          <w:shd w:val="clear" w:color="auto" w:fill="FFFFFF"/>
          <w:lang w:val="en-US" w:eastAsia="zh-CN"/>
        </w:rPr>
        <w:t>（1）应答人必须从采购代理机构获得竞争性谈判文件并登记备案，否则不能参加本次谈判。</w:t>
      </w:r>
    </w:p>
    <w:p w14:paraId="55992D0B">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val="0"/>
          <w:bCs/>
          <w:kern w:val="2"/>
          <w:sz w:val="24"/>
          <w:szCs w:val="24"/>
          <w:highlight w:val="none"/>
          <w:shd w:val="clear" w:color="auto" w:fill="FFFFFF"/>
          <w:lang w:val="en-US" w:eastAsia="zh-CN"/>
        </w:rPr>
        <w:t>（2）</w:t>
      </w:r>
      <w:bookmarkStart w:id="79" w:name="_Toc150933568"/>
      <w:r>
        <w:rPr>
          <w:rFonts w:hint="eastAsia" w:ascii="仿宋" w:hAnsi="仿宋" w:eastAsia="仿宋" w:cs="仿宋"/>
          <w:sz w:val="24"/>
          <w:szCs w:val="24"/>
          <w:highlight w:val="none"/>
        </w:rPr>
        <w:t>未经</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人允许，</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不得将本项目采购内容以任何方式进行分包</w:t>
      </w:r>
      <w:bookmarkEnd w:id="79"/>
      <w:bookmarkStart w:id="80" w:name="_Toc150933569"/>
      <w:r>
        <w:rPr>
          <w:rFonts w:hint="eastAsia" w:ascii="仿宋" w:hAnsi="仿宋" w:eastAsia="仿宋" w:cs="仿宋"/>
          <w:sz w:val="24"/>
          <w:szCs w:val="24"/>
          <w:highlight w:val="none"/>
        </w:rPr>
        <w:t>。</w:t>
      </w:r>
      <w:bookmarkEnd w:id="80"/>
    </w:p>
    <w:p w14:paraId="47A555C9">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bCs/>
          <w:kern w:val="2"/>
          <w:sz w:val="24"/>
          <w:szCs w:val="24"/>
          <w:highlight w:val="none"/>
          <w:shd w:val="clear" w:color="auto" w:fill="FFFFFF"/>
          <w:lang w:val="en-US" w:eastAsia="zh-CN"/>
        </w:rPr>
        <w:t>（3）</w:t>
      </w:r>
      <w:r>
        <w:rPr>
          <w:rFonts w:hint="eastAsia" w:ascii="仿宋" w:hAnsi="仿宋" w:eastAsia="仿宋" w:cs="仿宋"/>
          <w:sz w:val="24"/>
          <w:szCs w:val="24"/>
          <w:highlight w:val="none"/>
          <w:lang w:val="en-US" w:eastAsia="zh-CN"/>
        </w:rPr>
        <w:t>应答人不得将本项目采购内容以任何方式进行转包。</w:t>
      </w:r>
    </w:p>
    <w:p w14:paraId="74F41753">
      <w:pPr>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（4）</w:t>
      </w:r>
      <w:r>
        <w:rPr>
          <w:rFonts w:hint="eastAsia" w:ascii="仿宋" w:hAnsi="仿宋" w:eastAsia="仿宋" w:cs="仿宋"/>
          <w:kern w:val="2"/>
          <w:sz w:val="24"/>
          <w:szCs w:val="24"/>
          <w:highlight w:val="none"/>
          <w:lang w:val="en-US" w:eastAsia="zh-CN" w:bidi="ar-SA"/>
        </w:rPr>
        <w:t>应答人之间不得相互串通应答报价，不得排挤其他应答人的公平竞争，损害采购人或者其他应答人的合法权益。</w:t>
      </w:r>
    </w:p>
    <w:p w14:paraId="1309F4F8">
      <w:pPr>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（5）应答人提供的全部材料必须真实有效，应答人如提供虚假材料或存在弄虚作假行为，其应答将被拒绝，采购人有权将其列入中国银行供应商不良行为名单。</w:t>
      </w:r>
    </w:p>
    <w:p w14:paraId="38283EF4">
      <w:pPr>
        <w:spacing w:line="360" w:lineRule="auto"/>
        <w:ind w:firstLine="480"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（6）应答人应未受到联合国、中国或其他采购人认为需适用的制裁发布主体的制裁，也未被前述制裁对象拥有或实际控制。</w:t>
      </w:r>
    </w:p>
    <w:p w14:paraId="0B146AAE">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联合体</w:t>
      </w:r>
      <w:r>
        <w:rPr>
          <w:rFonts w:hint="eastAsia" w:ascii="仿宋" w:hAnsi="仿宋" w:eastAsia="仿宋" w:cs="仿宋"/>
          <w:b/>
          <w:bCs/>
          <w:sz w:val="24"/>
          <w:szCs w:val="24"/>
          <w:highlight w:val="none"/>
          <w:lang w:val="en-US" w:eastAsia="zh-CN"/>
        </w:rPr>
        <w:t>应答</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本项目不接受联合体</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lang w:eastAsia="zh-CN"/>
        </w:rPr>
        <w:t>。</w:t>
      </w:r>
    </w:p>
    <w:p w14:paraId="0DB8DCAE">
      <w:pPr>
        <w:numPr>
          <w:ilvl w:val="255"/>
          <w:numId w:val="0"/>
        </w:numPr>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4.</w:t>
      </w:r>
      <w:r>
        <w:rPr>
          <w:rFonts w:hint="eastAsia" w:ascii="仿宋" w:hAnsi="仿宋" w:eastAsia="仿宋" w:cs="仿宋"/>
          <w:b/>
          <w:bCs/>
          <w:color w:val="000000"/>
          <w:kern w:val="0"/>
          <w:sz w:val="24"/>
          <w:szCs w:val="24"/>
          <w:highlight w:val="none"/>
        </w:rPr>
        <w:t>控股、管理关系</w:t>
      </w: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rPr>
        <w:t>存在关联关系的</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不同时参与：本项目。</w:t>
      </w:r>
    </w:p>
    <w:p w14:paraId="063D5622">
      <w:pPr>
        <w:numPr>
          <w:ilvl w:val="255"/>
          <w:numId w:val="0"/>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关联关系</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包含以下情况：</w:t>
      </w:r>
    </w:p>
    <w:p w14:paraId="37BD33B3">
      <w:pPr>
        <w:numPr>
          <w:ilvl w:val="255"/>
          <w:numId w:val="0"/>
        </w:numPr>
        <w:spacing w:line="360" w:lineRule="auto"/>
        <w:ind w:firstLine="480" w:firstLineChars="200"/>
        <w:rPr>
          <w:rFonts w:hint="eastAsia" w:ascii="仿宋" w:hAnsi="仿宋" w:eastAsia="仿宋" w:cs="仿宋"/>
          <w:sz w:val="24"/>
          <w:szCs w:val="24"/>
          <w:highlight w:val="none"/>
        </w:rPr>
      </w:pPr>
      <w:bookmarkStart w:id="81" w:name="_Toc150933571"/>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与本</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单位法定代表人/负责人为同一人的其他</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w:t>
      </w:r>
      <w:bookmarkEnd w:id="81"/>
      <w:bookmarkStart w:id="82" w:name="_Toc149230388"/>
    </w:p>
    <w:p w14:paraId="39460817">
      <w:pPr>
        <w:numPr>
          <w:ilvl w:val="255"/>
          <w:numId w:val="0"/>
        </w:numPr>
        <w:spacing w:line="360" w:lineRule="auto"/>
        <w:ind w:firstLine="480" w:firstLineChars="200"/>
        <w:rPr>
          <w:rFonts w:hint="eastAsia" w:ascii="仿宋" w:hAnsi="仿宋" w:eastAsia="仿宋" w:cs="仿宋"/>
          <w:sz w:val="24"/>
          <w:szCs w:val="24"/>
          <w:highlight w:val="none"/>
        </w:rPr>
      </w:pPr>
      <w:bookmarkStart w:id="83" w:name="_Toc150933572"/>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与本</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存在直接控股、管理关系的其他</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w:t>
      </w:r>
      <w:bookmarkEnd w:id="82"/>
      <w:bookmarkEnd w:id="83"/>
    </w:p>
    <w:p w14:paraId="6017A369">
      <w:pPr>
        <w:numPr>
          <w:ilvl w:val="255"/>
          <w:numId w:val="0"/>
        </w:num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应向</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人如实披露与本</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存在关联关系的其他</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人有权取消关联关系</w:t>
      </w:r>
      <w:r>
        <w:rPr>
          <w:rFonts w:hint="eastAsia" w:ascii="仿宋" w:hAnsi="仿宋" w:eastAsia="仿宋" w:cs="仿宋"/>
          <w:sz w:val="24"/>
          <w:szCs w:val="24"/>
          <w:highlight w:val="none"/>
          <w:lang w:val="en-US" w:eastAsia="zh-CN"/>
        </w:rPr>
        <w:t>应答人</w:t>
      </w:r>
      <w:r>
        <w:rPr>
          <w:rFonts w:hint="eastAsia" w:ascii="仿宋" w:hAnsi="仿宋" w:eastAsia="仿宋" w:cs="仿宋"/>
          <w:sz w:val="24"/>
          <w:szCs w:val="24"/>
          <w:highlight w:val="none"/>
        </w:rPr>
        <w:t>参与本项目的资格或重新组织</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w:t>
      </w:r>
    </w:p>
    <w:p w14:paraId="0E50A38A">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sz w:val="24"/>
          <w:szCs w:val="24"/>
          <w:highlight w:val="none"/>
          <w:lang w:val="en-US" w:eastAsia="zh-CN"/>
        </w:rPr>
        <w:t>5.企业信誉1：</w:t>
      </w:r>
      <w:r>
        <w:rPr>
          <w:rFonts w:hint="eastAsia" w:ascii="仿宋" w:hAnsi="仿宋" w:eastAsia="仿宋" w:cs="仿宋"/>
          <w:sz w:val="24"/>
          <w:szCs w:val="24"/>
          <w:highlight w:val="none"/>
          <w:lang w:val="en-US" w:eastAsia="zh-CN"/>
        </w:rPr>
        <w:t>截至递交应答文件截止日（含），应答人未被“信用中国”网站（http://www.creditchina.gov.cn）列入失信被执行人、重大税收违法失信主体、政府采购严重违法失信行为记录名单。</w:t>
      </w:r>
    </w:p>
    <w:p w14:paraId="496CBBD6">
      <w:pPr>
        <w:widowControl w:val="0"/>
        <w:spacing w:after="120" w:line="480" w:lineRule="auto"/>
        <w:ind w:firstLine="419"/>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6.企业信誉2：</w:t>
      </w:r>
      <w:r>
        <w:rPr>
          <w:rFonts w:hint="eastAsia" w:ascii="仿宋" w:hAnsi="仿宋" w:eastAsia="仿宋" w:cs="仿宋"/>
          <w:kern w:val="2"/>
          <w:sz w:val="24"/>
          <w:szCs w:val="24"/>
          <w:highlight w:val="none"/>
          <w:lang w:val="en-US" w:eastAsia="zh-CN" w:bidi="ar-SA"/>
        </w:rPr>
        <w:t>近3年（2022年1月1日至递交应答文件截止日（含）），应答人经营活动中没有重大违法违规记录或涉及环境保护、劳动用工、消费者权益保护等方面的重大违法违规行为。重大违法违规，是指应答人因违法经营受到刑事处罚或者责令停产停业、吊销许可证或者执照、人民币200万元以上（含）的罚款等行政处罚。</w:t>
      </w:r>
    </w:p>
    <w:p w14:paraId="682A46D9">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kern w:val="2"/>
          <w:sz w:val="24"/>
          <w:szCs w:val="24"/>
          <w:highlight w:val="none"/>
          <w:lang w:val="en-US" w:eastAsia="zh-CN" w:bidi="ar-SA"/>
        </w:rPr>
        <w:t>7.企业信誉3：</w:t>
      </w:r>
      <w:r>
        <w:rPr>
          <w:rFonts w:hint="eastAsia" w:ascii="仿宋" w:hAnsi="仿宋" w:eastAsia="仿宋" w:cs="仿宋"/>
          <w:kern w:val="2"/>
          <w:sz w:val="24"/>
          <w:szCs w:val="24"/>
          <w:highlight w:val="none"/>
          <w:lang w:val="en-US" w:eastAsia="zh-CN" w:bidi="ar-SA"/>
        </w:rPr>
        <w:t>截至递交应答文件截止日</w:t>
      </w:r>
      <w:r>
        <w:rPr>
          <w:rFonts w:hint="eastAsia" w:ascii="仿宋" w:hAnsi="仿宋" w:eastAsia="仿宋" w:cs="仿宋"/>
          <w:sz w:val="24"/>
          <w:szCs w:val="24"/>
          <w:highlight w:val="none"/>
          <w:lang w:val="en-US" w:eastAsia="zh-CN"/>
        </w:rPr>
        <w:t>（含）</w:t>
      </w:r>
      <w:r>
        <w:rPr>
          <w:rFonts w:hint="eastAsia" w:ascii="仿宋" w:hAnsi="仿宋" w:eastAsia="仿宋" w:cs="仿宋"/>
          <w:kern w:val="2"/>
          <w:sz w:val="24"/>
          <w:szCs w:val="24"/>
          <w:highlight w:val="none"/>
          <w:lang w:val="en-US" w:eastAsia="zh-CN" w:bidi="ar-SA"/>
        </w:rPr>
        <w:t>，应答人未处于中国银行应答人不良行为禁止准入处罚期内。</w:t>
      </w:r>
    </w:p>
    <w:p w14:paraId="5AF87A13">
      <w:pPr>
        <w:spacing w:line="360" w:lineRule="auto"/>
        <w:ind w:firstLine="482" w:firstLineChars="200"/>
        <w:rPr>
          <w:rFonts w:hint="eastAsia" w:ascii="仿宋" w:hAnsi="仿宋" w:eastAsia="仿宋" w:cs="仿宋"/>
          <w:bCs/>
          <w:sz w:val="24"/>
          <w:szCs w:val="24"/>
          <w:highlight w:val="none"/>
        </w:rPr>
      </w:pPr>
      <w:r>
        <w:rPr>
          <w:rFonts w:hint="eastAsia" w:ascii="仿宋" w:hAnsi="仿宋" w:eastAsia="仿宋" w:cs="仿宋"/>
          <w:b/>
          <w:bCs/>
          <w:kern w:val="2"/>
          <w:sz w:val="24"/>
          <w:szCs w:val="24"/>
          <w:highlight w:val="none"/>
          <w:lang w:val="en-US" w:eastAsia="zh-CN" w:bidi="ar-SA"/>
        </w:rPr>
        <w:t>8.企业责任：</w:t>
      </w:r>
      <w:r>
        <w:rPr>
          <w:rFonts w:hint="eastAsia" w:ascii="仿宋" w:hAnsi="仿宋" w:eastAsia="仿宋" w:cs="仿宋"/>
          <w:kern w:val="2"/>
          <w:sz w:val="24"/>
          <w:szCs w:val="24"/>
          <w:highlight w:val="none"/>
          <w:lang w:val="en-US" w:eastAsia="zh-CN" w:bidi="ar-SA"/>
        </w:rPr>
        <w:t>应答人须承诺：采购人在使用其提供的货物时，在使用的国家/地区不存在任何已知的不合法的情形，也不存在任何已知的与第三方专利权、著作权、商标权等知识产权、肖像权等民事权利相关的侵权行为。如果有任何因采购人使用应答人提供的服务而提起的侵权指控，应答人须依法承担全部责任。</w:t>
      </w:r>
    </w:p>
    <w:p w14:paraId="46E39372">
      <w:pPr>
        <w:spacing w:line="360" w:lineRule="auto"/>
        <w:ind w:firstLine="420"/>
        <w:outlineLvl w:val="1"/>
        <w:rPr>
          <w:rFonts w:hint="eastAsia" w:ascii="仿宋" w:hAnsi="仿宋" w:eastAsia="仿宋" w:cs="仿宋"/>
          <w:sz w:val="24"/>
          <w:szCs w:val="24"/>
          <w:highlight w:val="none"/>
          <w:lang w:val="en-US" w:eastAsia="zh-CN"/>
        </w:rPr>
      </w:pPr>
      <w:bookmarkStart w:id="84" w:name="_Toc303850102"/>
      <w:bookmarkStart w:id="85" w:name="_Toc291713016"/>
      <w:bookmarkStart w:id="86" w:name="_Toc302465648"/>
      <w:bookmarkStart w:id="87" w:name="_Toc290647044"/>
      <w:bookmarkStart w:id="88" w:name="_Toc301955539"/>
      <w:bookmarkStart w:id="89" w:name="_Toc325969680"/>
      <w:bookmarkStart w:id="90" w:name="_Toc290394156"/>
      <w:bookmarkStart w:id="91" w:name="_Toc293927369"/>
      <w:bookmarkStart w:id="92" w:name="_Toc325969418"/>
      <w:bookmarkStart w:id="93" w:name="_Toc290841263"/>
      <w:bookmarkStart w:id="94" w:name="_Toc277169288"/>
      <w:bookmarkStart w:id="95" w:name="_Toc325969566"/>
      <w:bookmarkStart w:id="96" w:name="_Toc383529023"/>
      <w:bookmarkStart w:id="97" w:name="_Toc347771171"/>
      <w:bookmarkStart w:id="98" w:name="_Toc347770461"/>
      <w:bookmarkStart w:id="99" w:name="_Toc148110994"/>
      <w:bookmarkStart w:id="100" w:name="_Toc32124"/>
      <w:bookmarkStart w:id="101" w:name="_Toc148111100"/>
      <w:bookmarkStart w:id="102" w:name="_Toc149224047"/>
      <w:r>
        <w:rPr>
          <w:rFonts w:hint="eastAsia" w:ascii="仿宋" w:hAnsi="仿宋" w:eastAsia="仿宋" w:cs="仿宋"/>
          <w:b/>
          <w:sz w:val="24"/>
          <w:szCs w:val="24"/>
          <w:highlight w:val="none"/>
        </w:rPr>
        <w:t>五、</w:t>
      </w:r>
      <w:r>
        <w:rPr>
          <w:rFonts w:hint="eastAsia" w:ascii="仿宋" w:hAnsi="仿宋" w:eastAsia="仿宋" w:cs="仿宋"/>
          <w:b/>
          <w:sz w:val="24"/>
          <w:szCs w:val="24"/>
          <w:highlight w:val="none"/>
          <w:lang w:val="en-US" w:eastAsia="zh-CN"/>
        </w:rPr>
        <w:t>竞争性谈判</w:t>
      </w:r>
      <w:r>
        <w:rPr>
          <w:rFonts w:hint="eastAsia" w:ascii="仿宋" w:hAnsi="仿宋" w:eastAsia="仿宋" w:cs="仿宋"/>
          <w:b/>
          <w:sz w:val="24"/>
          <w:szCs w:val="24"/>
          <w:highlight w:val="none"/>
        </w:rPr>
        <w:t>文件的</w:t>
      </w:r>
      <w:bookmarkEnd w:id="84"/>
      <w:bookmarkEnd w:id="85"/>
      <w:bookmarkEnd w:id="86"/>
      <w:bookmarkEnd w:id="87"/>
      <w:bookmarkEnd w:id="88"/>
      <w:bookmarkEnd w:id="89"/>
      <w:bookmarkEnd w:id="90"/>
      <w:bookmarkEnd w:id="91"/>
      <w:bookmarkEnd w:id="92"/>
      <w:bookmarkEnd w:id="93"/>
      <w:bookmarkEnd w:id="94"/>
      <w:bookmarkEnd w:id="95"/>
      <w:r>
        <w:rPr>
          <w:rFonts w:hint="eastAsia" w:ascii="仿宋" w:hAnsi="仿宋" w:eastAsia="仿宋" w:cs="仿宋"/>
          <w:b/>
          <w:sz w:val="24"/>
          <w:szCs w:val="24"/>
          <w:highlight w:val="none"/>
        </w:rPr>
        <w:t>领取</w:t>
      </w:r>
      <w:bookmarkEnd w:id="96"/>
      <w:bookmarkEnd w:id="97"/>
      <w:bookmarkEnd w:id="98"/>
      <w:r>
        <w:rPr>
          <w:rFonts w:hint="eastAsia" w:ascii="仿宋" w:hAnsi="仿宋" w:eastAsia="仿宋" w:cs="仿宋"/>
          <w:b/>
          <w:bCs/>
          <w:sz w:val="24"/>
          <w:szCs w:val="24"/>
          <w:highlight w:val="none"/>
        </w:rPr>
        <w:t>：</w:t>
      </w:r>
      <w:bookmarkEnd w:id="99"/>
      <w:bookmarkEnd w:id="100"/>
      <w:bookmarkEnd w:id="101"/>
      <w:bookmarkEnd w:id="102"/>
    </w:p>
    <w:p w14:paraId="00EAE1BA">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5.1竞争性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文件获取时间:【20</w:t>
      </w:r>
      <w:r>
        <w:rPr>
          <w:rFonts w:hint="eastAsia" w:ascii="仿宋" w:hAnsi="仿宋" w:eastAsia="仿宋" w:cs="仿宋"/>
          <w:sz w:val="24"/>
          <w:szCs w:val="24"/>
          <w:highlight w:val="none"/>
          <w:lang w:val="en-US" w:eastAsia="zh-CN"/>
        </w:rPr>
        <w:t>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分至202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07</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07</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18</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分】（北京时间，下同）。</w:t>
      </w:r>
    </w:p>
    <w:p w14:paraId="762A1212">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5.2竞争性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文件获取方式：使用采购代理机构电子招投标平台或“链捷招”的微信公众号进行缴费及购买文件。关注采购代理机构电子招投标平台（https://zb.chinaccsscm.cn/）并根据提示完成注册、竞争性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文件费用支付或关注“链捷招”的微信公众号，在“链捷招-投标”中根据提示完成竞争性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文件费用支付（注册审核联系商务专员，电话：18060753032）。</w:t>
      </w:r>
    </w:p>
    <w:p w14:paraId="24DEC24F">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5.3竞争性</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文件每套售价【300】元人民币，售后不退。</w:t>
      </w:r>
    </w:p>
    <w:p w14:paraId="4C0A3372">
      <w:pPr>
        <w:spacing w:line="360" w:lineRule="auto"/>
        <w:ind w:firstLine="482" w:firstLineChars="200"/>
        <w:outlineLvl w:val="1"/>
        <w:rPr>
          <w:rFonts w:hint="eastAsia" w:ascii="仿宋" w:hAnsi="仿宋" w:eastAsia="仿宋" w:cs="仿宋"/>
          <w:b/>
          <w:sz w:val="24"/>
          <w:szCs w:val="24"/>
          <w:highlight w:val="none"/>
        </w:rPr>
      </w:pPr>
      <w:bookmarkStart w:id="103" w:name="_Toc325969567"/>
      <w:bookmarkStart w:id="104" w:name="_Toc383529024"/>
      <w:bookmarkStart w:id="105" w:name="_Toc347770463"/>
      <w:bookmarkStart w:id="106" w:name="_Toc325969419"/>
      <w:bookmarkStart w:id="107" w:name="_Toc347771173"/>
      <w:bookmarkStart w:id="108" w:name="_Toc325969681"/>
      <w:bookmarkStart w:id="109" w:name="_Toc28068"/>
      <w:bookmarkStart w:id="110" w:name="_Toc149224048"/>
      <w:bookmarkStart w:id="111" w:name="_Toc148110995"/>
      <w:bookmarkStart w:id="112" w:name="_Toc148111101"/>
      <w:r>
        <w:rPr>
          <w:rFonts w:hint="eastAsia" w:ascii="仿宋" w:hAnsi="仿宋" w:eastAsia="仿宋" w:cs="仿宋"/>
          <w:b/>
          <w:sz w:val="24"/>
          <w:szCs w:val="24"/>
          <w:highlight w:val="none"/>
        </w:rPr>
        <w:t>六、发布公告的媒介</w:t>
      </w:r>
      <w:bookmarkEnd w:id="103"/>
      <w:bookmarkEnd w:id="104"/>
      <w:bookmarkEnd w:id="105"/>
      <w:bookmarkEnd w:id="106"/>
      <w:bookmarkEnd w:id="107"/>
      <w:bookmarkEnd w:id="108"/>
      <w:r>
        <w:rPr>
          <w:rFonts w:hint="eastAsia" w:ascii="仿宋" w:hAnsi="仿宋" w:eastAsia="仿宋" w:cs="仿宋"/>
          <w:b/>
          <w:sz w:val="24"/>
          <w:szCs w:val="24"/>
          <w:highlight w:val="none"/>
        </w:rPr>
        <w:t>：</w:t>
      </w:r>
      <w:bookmarkEnd w:id="109"/>
      <w:bookmarkEnd w:id="110"/>
      <w:bookmarkEnd w:id="111"/>
      <w:bookmarkEnd w:id="112"/>
    </w:p>
    <w:p w14:paraId="6D76612E">
      <w:pPr>
        <w:spacing w:line="360" w:lineRule="auto"/>
        <w:ind w:firstLine="480" w:firstLineChars="200"/>
        <w:rPr>
          <w:rFonts w:hint="eastAsia" w:ascii="仿宋" w:hAnsi="仿宋" w:eastAsia="仿宋" w:cs="仿宋"/>
          <w:sz w:val="24"/>
          <w:szCs w:val="24"/>
          <w:highlight w:val="none"/>
        </w:rPr>
      </w:pPr>
      <w:bookmarkStart w:id="113" w:name="_Hlk528490864"/>
      <w:r>
        <w:rPr>
          <w:rFonts w:hint="eastAsia" w:ascii="仿宋" w:hAnsi="仿宋" w:eastAsia="仿宋" w:cs="仿宋"/>
          <w:sz w:val="24"/>
          <w:szCs w:val="24"/>
          <w:highlight w:val="none"/>
          <w:lang w:val="en-US" w:eastAsia="zh-CN"/>
        </w:rPr>
        <w:t>本招标公告同时在中国招标投标公共服务平台（http://www.cebpubservice.com/）、链捷招（ https://zb.chinaccsscm.cn/）上发布，其他媒介转载无效。</w:t>
      </w:r>
      <w:bookmarkEnd w:id="113"/>
    </w:p>
    <w:p w14:paraId="5BB0502B">
      <w:pPr>
        <w:numPr>
          <w:ilvl w:val="0"/>
          <w:numId w:val="2"/>
        </w:numPr>
        <w:spacing w:line="360" w:lineRule="auto"/>
        <w:ind w:firstLine="420"/>
        <w:outlineLvl w:val="1"/>
        <w:rPr>
          <w:rFonts w:hint="eastAsia" w:ascii="仿宋" w:hAnsi="仿宋" w:eastAsia="仿宋" w:cs="仿宋"/>
          <w:b/>
          <w:sz w:val="24"/>
          <w:szCs w:val="24"/>
          <w:highlight w:val="none"/>
          <w:lang w:val="en-US" w:eastAsia="zh-CN"/>
        </w:rPr>
      </w:pPr>
      <w:bookmarkStart w:id="114" w:name="_Toc20921"/>
      <w:bookmarkStart w:id="115" w:name="_Toc290841265"/>
      <w:bookmarkStart w:id="116" w:name="_Toc277169290"/>
      <w:bookmarkStart w:id="117" w:name="_Toc325969420"/>
      <w:bookmarkStart w:id="118" w:name="_Toc303850104"/>
      <w:bookmarkStart w:id="119" w:name="_Toc325969568"/>
      <w:bookmarkStart w:id="120" w:name="_Toc325969682"/>
      <w:bookmarkStart w:id="121" w:name="_Toc290394158"/>
      <w:bookmarkStart w:id="122" w:name="_Toc293927371"/>
      <w:bookmarkStart w:id="123" w:name="_Toc291713018"/>
      <w:bookmarkStart w:id="124" w:name="_Toc347771174"/>
      <w:bookmarkStart w:id="125" w:name="_Toc301955541"/>
      <w:bookmarkStart w:id="126" w:name="_Toc383529025"/>
      <w:bookmarkStart w:id="127" w:name="_Toc302465650"/>
      <w:bookmarkStart w:id="128" w:name="_Toc347770464"/>
      <w:bookmarkStart w:id="129" w:name="_Toc290647046"/>
      <w:bookmarkStart w:id="130" w:name="_Toc148110996"/>
      <w:bookmarkStart w:id="131" w:name="_Toc148111102"/>
      <w:bookmarkStart w:id="132" w:name="_Toc149224049"/>
      <w:r>
        <w:rPr>
          <w:rFonts w:hint="eastAsia" w:ascii="仿宋" w:hAnsi="仿宋" w:eastAsia="仿宋" w:cs="仿宋"/>
          <w:b/>
          <w:sz w:val="24"/>
          <w:szCs w:val="24"/>
          <w:highlight w:val="none"/>
          <w:lang w:val="en-US" w:eastAsia="zh-CN"/>
        </w:rPr>
        <w:t>项目说明会</w:t>
      </w:r>
      <w:bookmarkEnd w:id="114"/>
    </w:p>
    <w:p w14:paraId="3032AF51">
      <w:pPr>
        <w:spacing w:line="360" w:lineRule="auto"/>
        <w:ind w:firstLine="420"/>
        <w:outlineLvl w:val="9"/>
        <w:rPr>
          <w:rFonts w:hint="eastAsia" w:ascii="仿宋" w:hAnsi="仿宋" w:eastAsia="仿宋" w:cs="仿宋"/>
          <w:sz w:val="24"/>
          <w:szCs w:val="24"/>
          <w:highlight w:val="none"/>
          <w:lang w:val="en-US" w:eastAsia="zh-CN"/>
        </w:rPr>
      </w:pPr>
      <w:bookmarkStart w:id="133" w:name="_Toc11865"/>
      <w:r>
        <w:rPr>
          <w:rFonts w:hint="eastAsia" w:ascii="仿宋" w:hAnsi="仿宋" w:eastAsia="仿宋" w:cs="仿宋"/>
          <w:b/>
          <w:sz w:val="24"/>
          <w:szCs w:val="24"/>
          <w:highlight w:val="none"/>
          <w:lang w:val="en-US" w:eastAsia="zh-CN"/>
        </w:rPr>
        <w:t>【本项目不涉及】</w:t>
      </w:r>
      <w:bookmarkEnd w:id="133"/>
    </w:p>
    <w:p w14:paraId="4DB58ECA">
      <w:pPr>
        <w:numPr>
          <w:ilvl w:val="0"/>
          <w:numId w:val="2"/>
        </w:numPr>
        <w:spacing w:line="360" w:lineRule="auto"/>
        <w:ind w:firstLine="420"/>
        <w:outlineLvl w:val="1"/>
        <w:rPr>
          <w:rFonts w:hint="eastAsia" w:ascii="仿宋" w:hAnsi="仿宋" w:eastAsia="仿宋" w:cs="仿宋"/>
          <w:b/>
          <w:sz w:val="24"/>
          <w:szCs w:val="24"/>
          <w:highlight w:val="none"/>
        </w:rPr>
      </w:pPr>
      <w:bookmarkStart w:id="134" w:name="_Toc14979"/>
      <w:r>
        <w:rPr>
          <w:rFonts w:hint="eastAsia" w:ascii="仿宋" w:hAnsi="仿宋" w:eastAsia="仿宋" w:cs="仿宋"/>
          <w:b/>
          <w:sz w:val="24"/>
          <w:szCs w:val="24"/>
          <w:highlight w:val="none"/>
          <w:lang w:val="en-US" w:eastAsia="zh-CN"/>
        </w:rPr>
        <w:t>踏勘</w:t>
      </w:r>
      <w:bookmarkEnd w:id="134"/>
    </w:p>
    <w:p w14:paraId="48379728">
      <w:pPr>
        <w:spacing w:line="360" w:lineRule="auto"/>
        <w:ind w:firstLine="482" w:firstLineChars="200"/>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【本项目不涉及】</w:t>
      </w:r>
      <w:r>
        <w:rPr>
          <w:rFonts w:hint="eastAsia" w:ascii="仿宋" w:hAnsi="仿宋" w:eastAsia="仿宋" w:cs="仿宋"/>
          <w:sz w:val="24"/>
          <w:szCs w:val="24"/>
          <w:highlight w:val="none"/>
        </w:rPr>
        <w:t xml:space="preserve"> </w:t>
      </w:r>
    </w:p>
    <w:p w14:paraId="18F64C0D">
      <w:pPr>
        <w:widowControl w:val="0"/>
        <w:ind w:left="0" w:leftChars="0" w:firstLine="482" w:firstLineChars="200"/>
        <w:jc w:val="both"/>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九、样品</w:t>
      </w:r>
    </w:p>
    <w:p w14:paraId="1B4A6104">
      <w:pPr>
        <w:numPr>
          <w:ilvl w:val="0"/>
          <w:numId w:val="0"/>
        </w:numPr>
        <w:spacing w:line="360" w:lineRule="auto"/>
        <w:ind w:firstLine="482" w:firstLineChars="200"/>
        <w:outlineLvl w:val="1"/>
        <w:rPr>
          <w:rFonts w:hint="eastAsia" w:ascii="仿宋" w:hAnsi="仿宋" w:eastAsia="仿宋" w:cs="仿宋"/>
          <w:b/>
          <w:sz w:val="24"/>
          <w:szCs w:val="24"/>
          <w:highlight w:val="none"/>
          <w:lang w:val="en-US" w:eastAsia="zh-CN"/>
        </w:rPr>
      </w:pPr>
      <w:bookmarkStart w:id="135" w:name="_Toc26871"/>
      <w:r>
        <w:rPr>
          <w:rFonts w:hint="eastAsia" w:ascii="仿宋" w:hAnsi="仿宋" w:eastAsia="仿宋" w:cs="仿宋"/>
          <w:b/>
          <w:sz w:val="24"/>
          <w:szCs w:val="24"/>
          <w:highlight w:val="none"/>
          <w:lang w:val="en-US" w:eastAsia="zh-CN"/>
        </w:rPr>
        <w:t>【本项目不涉及】</w:t>
      </w:r>
      <w:bookmarkEnd w:id="135"/>
    </w:p>
    <w:p w14:paraId="166632B9">
      <w:pPr>
        <w:numPr>
          <w:ilvl w:val="0"/>
          <w:numId w:val="0"/>
        </w:numPr>
        <w:spacing w:line="360" w:lineRule="auto"/>
        <w:ind w:firstLine="482" w:firstLineChars="200"/>
        <w:outlineLvl w:val="1"/>
        <w:rPr>
          <w:rFonts w:hint="eastAsia" w:ascii="仿宋" w:hAnsi="仿宋" w:eastAsia="仿宋" w:cs="仿宋"/>
          <w:b/>
          <w:sz w:val="24"/>
          <w:szCs w:val="24"/>
          <w:highlight w:val="none"/>
        </w:rPr>
      </w:pPr>
      <w:bookmarkStart w:id="136" w:name="_Toc27470"/>
      <w:r>
        <w:rPr>
          <w:rFonts w:hint="eastAsia" w:ascii="仿宋" w:hAnsi="仿宋" w:eastAsia="仿宋" w:cs="仿宋"/>
          <w:b/>
          <w:sz w:val="24"/>
          <w:szCs w:val="24"/>
          <w:highlight w:val="none"/>
          <w:lang w:val="en-US" w:eastAsia="zh-CN"/>
        </w:rPr>
        <w:t>十、</w:t>
      </w:r>
      <w:r>
        <w:rPr>
          <w:rFonts w:hint="eastAsia" w:ascii="仿宋" w:hAnsi="仿宋" w:eastAsia="仿宋" w:cs="仿宋"/>
          <w:b/>
          <w:sz w:val="24"/>
          <w:szCs w:val="24"/>
          <w:highlight w:val="none"/>
        </w:rPr>
        <w:t>应答文件的递交</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Pr>
          <w:rFonts w:hint="eastAsia" w:ascii="仿宋" w:hAnsi="仿宋" w:eastAsia="仿宋" w:cs="仿宋"/>
          <w:b/>
          <w:sz w:val="24"/>
          <w:szCs w:val="24"/>
          <w:highlight w:val="none"/>
        </w:rPr>
        <w:t>：</w:t>
      </w:r>
      <w:bookmarkEnd w:id="130"/>
      <w:bookmarkEnd w:id="131"/>
      <w:bookmarkEnd w:id="132"/>
      <w:bookmarkEnd w:id="136"/>
      <w:r>
        <w:rPr>
          <w:rFonts w:hint="eastAsia" w:ascii="仿宋" w:hAnsi="仿宋" w:eastAsia="仿宋" w:cs="仿宋"/>
          <w:b/>
          <w:sz w:val="24"/>
          <w:szCs w:val="24"/>
          <w:highlight w:val="none"/>
        </w:rPr>
        <w:t xml:space="preserve"> </w:t>
      </w:r>
    </w:p>
    <w:p w14:paraId="180BC33B">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.1应答文件递交截止时间（即应答截止时间）为：【202</w:t>
      </w:r>
      <w:r>
        <w:rPr>
          <w:rFonts w:hint="eastAsia" w:ascii="仿宋" w:hAnsi="仿宋" w:eastAsia="仿宋" w:cs="仿宋"/>
          <w:b w:val="0"/>
          <w:bCs/>
          <w:sz w:val="24"/>
          <w:szCs w:val="24"/>
          <w:highlight w:val="none"/>
          <w:lang w:val="en-US" w:eastAsia="zh-CN"/>
        </w:rPr>
        <w:t>5</w:t>
      </w:r>
      <w:r>
        <w:rPr>
          <w:rFonts w:hint="eastAsia" w:ascii="仿宋" w:hAnsi="仿宋" w:eastAsia="仿宋" w:cs="仿宋"/>
          <w:b w:val="0"/>
          <w:bCs/>
          <w:sz w:val="24"/>
          <w:szCs w:val="24"/>
          <w:highlight w:val="none"/>
        </w:rPr>
        <w:t>年</w:t>
      </w:r>
      <w:r>
        <w:rPr>
          <w:rFonts w:hint="eastAsia" w:ascii="仿宋" w:hAnsi="仿宋" w:eastAsia="仿宋" w:cs="仿宋"/>
          <w:b w:val="0"/>
          <w:bCs/>
          <w:sz w:val="24"/>
          <w:szCs w:val="24"/>
          <w:highlight w:val="none"/>
          <w:lang w:val="en-US" w:eastAsia="zh-CN"/>
        </w:rPr>
        <w:t>07</w:t>
      </w:r>
      <w:r>
        <w:rPr>
          <w:rFonts w:hint="eastAsia" w:ascii="仿宋" w:hAnsi="仿宋" w:eastAsia="仿宋" w:cs="仿宋"/>
          <w:b w:val="0"/>
          <w:bCs/>
          <w:sz w:val="24"/>
          <w:szCs w:val="24"/>
          <w:highlight w:val="none"/>
        </w:rPr>
        <w:t>月</w:t>
      </w:r>
      <w:r>
        <w:rPr>
          <w:rFonts w:hint="eastAsia" w:ascii="仿宋" w:hAnsi="仿宋" w:eastAsia="仿宋" w:cs="仿宋"/>
          <w:b w:val="0"/>
          <w:bCs/>
          <w:sz w:val="24"/>
          <w:szCs w:val="24"/>
          <w:highlight w:val="none"/>
          <w:lang w:val="en-US" w:eastAsia="zh-CN"/>
        </w:rPr>
        <w:t>14</w:t>
      </w:r>
      <w:r>
        <w:rPr>
          <w:rFonts w:hint="eastAsia" w:ascii="仿宋" w:hAnsi="仿宋" w:eastAsia="仿宋" w:cs="仿宋"/>
          <w:b w:val="0"/>
          <w:bCs/>
          <w:sz w:val="24"/>
          <w:szCs w:val="24"/>
          <w:highlight w:val="none"/>
        </w:rPr>
        <w:t>日</w:t>
      </w:r>
      <w:r>
        <w:rPr>
          <w:rFonts w:hint="eastAsia" w:ascii="仿宋" w:hAnsi="仿宋" w:eastAsia="仿宋" w:cs="仿宋"/>
          <w:b w:val="0"/>
          <w:bCs/>
          <w:sz w:val="24"/>
          <w:szCs w:val="24"/>
          <w:highlight w:val="none"/>
          <w:lang w:val="en-US" w:eastAsia="zh-CN"/>
        </w:rPr>
        <w:t>09</w:t>
      </w:r>
      <w:r>
        <w:rPr>
          <w:rFonts w:hint="eastAsia" w:ascii="仿宋" w:hAnsi="仿宋" w:eastAsia="仿宋" w:cs="仿宋"/>
          <w:b w:val="0"/>
          <w:bCs/>
          <w:sz w:val="24"/>
          <w:szCs w:val="24"/>
          <w:highlight w:val="none"/>
        </w:rPr>
        <w:t>时</w:t>
      </w:r>
      <w:r>
        <w:rPr>
          <w:rFonts w:hint="eastAsia" w:ascii="仿宋" w:hAnsi="仿宋" w:eastAsia="仿宋" w:cs="仿宋"/>
          <w:b w:val="0"/>
          <w:bCs/>
          <w:sz w:val="24"/>
          <w:szCs w:val="24"/>
          <w:highlight w:val="none"/>
          <w:lang w:val="en-US" w:eastAsia="zh-CN"/>
        </w:rPr>
        <w:t>00</w:t>
      </w:r>
      <w:r>
        <w:rPr>
          <w:rFonts w:hint="eastAsia" w:ascii="仿宋" w:hAnsi="仿宋" w:eastAsia="仿宋" w:cs="仿宋"/>
          <w:b w:val="0"/>
          <w:bCs/>
          <w:sz w:val="24"/>
          <w:szCs w:val="24"/>
          <w:highlight w:val="none"/>
        </w:rPr>
        <w:t>分】。</w:t>
      </w:r>
    </w:p>
    <w:p w14:paraId="0A494ABA">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.2纸质应答文件递交地点：【</w:t>
      </w:r>
      <w:r>
        <w:rPr>
          <w:rFonts w:hint="eastAsia" w:ascii="仿宋" w:hAnsi="仿宋" w:eastAsia="仿宋" w:cs="仿宋"/>
          <w:b w:val="0"/>
          <w:bCs/>
          <w:sz w:val="24"/>
          <w:szCs w:val="24"/>
          <w:highlight w:val="none"/>
          <w:lang w:val="en-US" w:eastAsia="zh-CN"/>
        </w:rPr>
        <w:t>福建省泉州市丰泽区泉秀街道宝洲路399号富翔上城2#207室</w:t>
      </w:r>
      <w:r>
        <w:rPr>
          <w:rFonts w:hint="eastAsia" w:ascii="仿宋" w:hAnsi="仿宋" w:eastAsia="仿宋" w:cs="仿宋"/>
          <w:b w:val="0"/>
          <w:bCs/>
          <w:sz w:val="24"/>
          <w:szCs w:val="24"/>
          <w:highlight w:val="none"/>
        </w:rPr>
        <w:t>】。</w:t>
      </w:r>
    </w:p>
    <w:p w14:paraId="5135E1F0">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如使用邮寄方式，</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应为应答文件预留出足够的邮寄时间，逾期不接收，因邮寄或快递的原因未在应答截止时间前送达指定地点的，一切责任由</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负责。【文件寄出后第一时间将邮寄、快递凭证通过邮件方式发送采购代理机构邮箱】</w:t>
      </w:r>
    </w:p>
    <w:p w14:paraId="5671C93B">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.3本项目将于上述同一时间、地点进行</w:t>
      </w:r>
      <w:r>
        <w:rPr>
          <w:rFonts w:hint="eastAsia" w:ascii="仿宋" w:hAnsi="仿宋" w:eastAsia="仿宋" w:cs="仿宋"/>
          <w:b w:val="0"/>
          <w:bCs/>
          <w:sz w:val="24"/>
          <w:szCs w:val="24"/>
          <w:highlight w:val="none"/>
          <w:lang w:val="en-US" w:eastAsia="zh-CN"/>
        </w:rPr>
        <w:t>开标</w:t>
      </w:r>
      <w:r>
        <w:rPr>
          <w:rFonts w:hint="eastAsia" w:ascii="仿宋" w:hAnsi="仿宋" w:eastAsia="仿宋" w:cs="仿宋"/>
          <w:b w:val="0"/>
          <w:bCs/>
          <w:sz w:val="24"/>
          <w:szCs w:val="24"/>
          <w:highlight w:val="none"/>
        </w:rPr>
        <w:t>，【采购人/采购代理机构】邀请</w:t>
      </w: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的法定代表人/负责人或者其委托代理人准时参加。</w:t>
      </w:r>
    </w:p>
    <w:p w14:paraId="728B7171">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文件要求递交纸质应答文件的，出现以下情形之一时，【采购人/采购代理机构】不予接收：</w:t>
      </w:r>
    </w:p>
    <w:p w14:paraId="65471938">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.4.1逾期送达或者未送达指定地点的；</w:t>
      </w:r>
    </w:p>
    <w:p w14:paraId="538A49A8">
      <w:pPr>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.4.2未按照竞争性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文件要求密封的；</w:t>
      </w:r>
    </w:p>
    <w:p w14:paraId="654107B6">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 w:val="0"/>
          <w:bCs/>
          <w:sz w:val="24"/>
          <w:szCs w:val="24"/>
          <w:highlight w:val="none"/>
          <w:lang w:val="en-US" w:eastAsia="zh-CN"/>
        </w:rPr>
        <w:t>10</w:t>
      </w:r>
      <w:r>
        <w:rPr>
          <w:rFonts w:hint="eastAsia" w:ascii="仿宋" w:hAnsi="仿宋" w:eastAsia="仿宋" w:cs="仿宋"/>
          <w:b w:val="0"/>
          <w:bCs/>
          <w:sz w:val="24"/>
          <w:szCs w:val="24"/>
          <w:highlight w:val="none"/>
        </w:rPr>
        <w:t>.4.3未按照本公告要求获得本项目竞争性</w:t>
      </w:r>
      <w:r>
        <w:rPr>
          <w:rFonts w:hint="eastAsia" w:ascii="仿宋" w:hAnsi="仿宋" w:eastAsia="仿宋" w:cs="仿宋"/>
          <w:b w:val="0"/>
          <w:bCs/>
          <w:sz w:val="24"/>
          <w:szCs w:val="24"/>
          <w:highlight w:val="none"/>
          <w:lang w:eastAsia="zh-CN"/>
        </w:rPr>
        <w:t>谈判</w:t>
      </w:r>
      <w:r>
        <w:rPr>
          <w:rFonts w:hint="eastAsia" w:ascii="仿宋" w:hAnsi="仿宋" w:eastAsia="仿宋" w:cs="仿宋"/>
          <w:b w:val="0"/>
          <w:bCs/>
          <w:sz w:val="24"/>
          <w:szCs w:val="24"/>
          <w:highlight w:val="none"/>
        </w:rPr>
        <w:t>文件的。</w:t>
      </w:r>
    </w:p>
    <w:p w14:paraId="0A6FD0F3">
      <w:pPr>
        <w:spacing w:line="360" w:lineRule="auto"/>
        <w:ind w:firstLine="482" w:firstLineChars="200"/>
        <w:outlineLvl w:val="1"/>
        <w:rPr>
          <w:rFonts w:hint="eastAsia" w:ascii="仿宋" w:hAnsi="仿宋" w:eastAsia="仿宋" w:cs="仿宋"/>
          <w:sz w:val="24"/>
          <w:szCs w:val="24"/>
          <w:highlight w:val="none"/>
        </w:rPr>
      </w:pPr>
      <w:bookmarkStart w:id="137" w:name="_Toc8865"/>
      <w:r>
        <w:rPr>
          <w:rFonts w:hint="eastAsia" w:ascii="仿宋" w:hAnsi="仿宋" w:eastAsia="仿宋" w:cs="仿宋"/>
          <w:b/>
          <w:sz w:val="24"/>
          <w:szCs w:val="24"/>
          <w:highlight w:val="none"/>
          <w:lang w:val="en-US" w:eastAsia="zh-CN"/>
        </w:rPr>
        <w:t>十一</w:t>
      </w:r>
      <w:r>
        <w:rPr>
          <w:rFonts w:hint="eastAsia" w:ascii="仿宋" w:hAnsi="仿宋" w:eastAsia="仿宋" w:cs="仿宋"/>
          <w:b/>
          <w:sz w:val="24"/>
          <w:szCs w:val="24"/>
          <w:highlight w:val="none"/>
        </w:rPr>
        <w:t>、监督举报方式：</w:t>
      </w:r>
      <w:bookmarkEnd w:id="137"/>
    </w:p>
    <w:p w14:paraId="57078E31">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 w:val="0"/>
          <w:bCs/>
          <w:sz w:val="24"/>
          <w:szCs w:val="24"/>
          <w:highlight w:val="none"/>
          <w:lang w:eastAsia="zh-CN"/>
        </w:rPr>
        <w:t>应答人</w:t>
      </w:r>
      <w:r>
        <w:rPr>
          <w:rFonts w:hint="eastAsia" w:ascii="仿宋" w:hAnsi="仿宋" w:eastAsia="仿宋" w:cs="仿宋"/>
          <w:b w:val="0"/>
          <w:bCs/>
          <w:sz w:val="24"/>
          <w:szCs w:val="24"/>
          <w:highlight w:val="none"/>
        </w:rPr>
        <w:t>与采购人在接触及合作过程中，如遇采购人部门或员工的违法、违纪、违规等问题，可向采购人纪委办公室反映和举报。采购人保护举报人的合法权益，严肃处理打击报复的行为。</w:t>
      </w:r>
    </w:p>
    <w:p w14:paraId="063A2275">
      <w:pPr>
        <w:spacing w:line="360" w:lineRule="auto"/>
        <w:ind w:firstLine="480" w:firstLineChars="200"/>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举报电话：0595-22152912</w:t>
      </w:r>
    </w:p>
    <w:p w14:paraId="005C950E">
      <w:pPr>
        <w:spacing w:line="360" w:lineRule="auto"/>
        <w:ind w:firstLine="480" w:firstLineChars="200"/>
        <w:rPr>
          <w:rFonts w:hint="eastAsia" w:ascii="仿宋" w:hAnsi="仿宋" w:eastAsia="仿宋" w:cs="仿宋"/>
          <w:bCs/>
          <w:sz w:val="24"/>
          <w:szCs w:val="24"/>
          <w:highlight w:val="none"/>
          <w:lang w:val="en-US" w:eastAsia="zh-CN"/>
        </w:rPr>
      </w:pPr>
      <w:r>
        <w:rPr>
          <w:rFonts w:hint="eastAsia" w:ascii="仿宋" w:hAnsi="仿宋" w:eastAsia="仿宋" w:cs="仿宋"/>
          <w:b w:val="0"/>
          <w:bCs/>
          <w:sz w:val="24"/>
          <w:szCs w:val="24"/>
          <w:highlight w:val="none"/>
          <w:lang w:val="en-US" w:eastAsia="zh-CN"/>
        </w:rPr>
        <w:t>信函地址：泉州分行附属楼一楼纪委办公室信箱。</w:t>
      </w:r>
    </w:p>
    <w:p w14:paraId="62C690D1">
      <w:pPr>
        <w:spacing w:line="360" w:lineRule="auto"/>
        <w:ind w:firstLine="420"/>
        <w:outlineLvl w:val="1"/>
        <w:rPr>
          <w:rFonts w:hint="eastAsia" w:ascii="仿宋" w:hAnsi="仿宋" w:eastAsia="仿宋" w:cs="仿宋"/>
          <w:b/>
          <w:bCs w:val="0"/>
          <w:kern w:val="2"/>
          <w:sz w:val="24"/>
          <w:szCs w:val="24"/>
          <w:highlight w:val="none"/>
          <w:lang w:val="en-US" w:eastAsia="zh-CN" w:bidi="ar-SA"/>
        </w:rPr>
      </w:pPr>
      <w:bookmarkStart w:id="138" w:name="_Toc19283"/>
      <w:bookmarkStart w:id="139" w:name="_Toc149224050"/>
      <w:bookmarkStart w:id="140" w:name="_Toc148110997"/>
      <w:bookmarkStart w:id="141" w:name="_Toc148111103"/>
      <w:r>
        <w:rPr>
          <w:rFonts w:hint="eastAsia" w:ascii="仿宋" w:hAnsi="仿宋" w:eastAsia="仿宋" w:cs="仿宋"/>
          <w:b/>
          <w:bCs w:val="0"/>
          <w:kern w:val="2"/>
          <w:sz w:val="24"/>
          <w:szCs w:val="24"/>
          <w:highlight w:val="none"/>
          <w:lang w:val="en-US" w:eastAsia="zh-CN" w:bidi="ar-SA"/>
        </w:rPr>
        <w:t>十二、其他：</w:t>
      </w:r>
      <w:bookmarkEnd w:id="138"/>
      <w:bookmarkEnd w:id="139"/>
      <w:bookmarkEnd w:id="140"/>
      <w:bookmarkEnd w:id="141"/>
    </w:p>
    <w:p w14:paraId="19E877D0">
      <w:pPr>
        <w:widowControl w:val="0"/>
        <w:spacing w:after="120" w:line="480" w:lineRule="auto"/>
        <w:ind w:firstLine="471"/>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本项目不属于依法必须进行招标的项目，也不属于政府采购项目，为采购人自行采购的项目。</w:t>
      </w:r>
    </w:p>
    <w:p w14:paraId="34527E1C">
      <w:pPr>
        <w:spacing w:line="360" w:lineRule="auto"/>
        <w:ind w:firstLine="420"/>
        <w:outlineLvl w:val="1"/>
        <w:rPr>
          <w:rFonts w:hint="eastAsia" w:ascii="仿宋" w:hAnsi="仿宋" w:eastAsia="仿宋" w:cs="仿宋"/>
          <w:sz w:val="24"/>
          <w:szCs w:val="24"/>
          <w:highlight w:val="none"/>
        </w:rPr>
      </w:pPr>
      <w:bookmarkStart w:id="142" w:name="_Toc347770465"/>
      <w:bookmarkStart w:id="143" w:name="_Toc325969683"/>
      <w:bookmarkStart w:id="144" w:name="_Toc347771175"/>
      <w:bookmarkStart w:id="145" w:name="_Toc383529026"/>
      <w:bookmarkStart w:id="146" w:name="_Toc303850106"/>
      <w:bookmarkStart w:id="147" w:name="_Toc325969569"/>
      <w:bookmarkStart w:id="148" w:name="_Toc325969421"/>
      <w:bookmarkStart w:id="149" w:name="_Toc148110998"/>
      <w:bookmarkStart w:id="150" w:name="_Toc149224051"/>
      <w:bookmarkStart w:id="151" w:name="_Toc148111104"/>
      <w:bookmarkStart w:id="152" w:name="_Toc2090"/>
      <w:r>
        <w:rPr>
          <w:rFonts w:hint="eastAsia" w:ascii="仿宋" w:hAnsi="仿宋" w:eastAsia="仿宋" w:cs="仿宋"/>
          <w:b/>
          <w:sz w:val="24"/>
          <w:szCs w:val="24"/>
          <w:highlight w:val="none"/>
        </w:rPr>
        <w:t>十</w:t>
      </w:r>
      <w:r>
        <w:rPr>
          <w:rFonts w:hint="eastAsia" w:ascii="仿宋" w:hAnsi="仿宋" w:eastAsia="仿宋" w:cs="仿宋"/>
          <w:b/>
          <w:sz w:val="24"/>
          <w:szCs w:val="24"/>
          <w:highlight w:val="none"/>
          <w:lang w:val="en-US" w:eastAsia="zh-CN"/>
        </w:rPr>
        <w:t>三</w:t>
      </w:r>
      <w:r>
        <w:rPr>
          <w:rFonts w:hint="eastAsia" w:ascii="仿宋" w:hAnsi="仿宋" w:eastAsia="仿宋" w:cs="仿宋"/>
          <w:b/>
          <w:sz w:val="24"/>
          <w:szCs w:val="24"/>
          <w:highlight w:val="none"/>
        </w:rPr>
        <w:t>、联系方式</w:t>
      </w:r>
      <w:bookmarkEnd w:id="142"/>
      <w:bookmarkEnd w:id="143"/>
      <w:bookmarkEnd w:id="144"/>
      <w:bookmarkEnd w:id="145"/>
      <w:bookmarkEnd w:id="146"/>
      <w:bookmarkEnd w:id="147"/>
      <w:bookmarkEnd w:id="148"/>
      <w:r>
        <w:rPr>
          <w:rFonts w:hint="eastAsia" w:ascii="仿宋" w:hAnsi="仿宋" w:eastAsia="仿宋" w:cs="仿宋"/>
          <w:b/>
          <w:sz w:val="24"/>
          <w:szCs w:val="24"/>
          <w:highlight w:val="none"/>
        </w:rPr>
        <w:t>：</w:t>
      </w:r>
      <w:bookmarkEnd w:id="149"/>
      <w:bookmarkEnd w:id="150"/>
      <w:bookmarkEnd w:id="151"/>
      <w:bookmarkEnd w:id="152"/>
    </w:p>
    <w:p w14:paraId="659F25F1">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购</w:t>
      </w:r>
      <w:r>
        <w:rPr>
          <w:rFonts w:hint="eastAsia" w:ascii="仿宋" w:hAnsi="仿宋" w:eastAsia="仿宋" w:cs="仿宋"/>
          <w:sz w:val="24"/>
          <w:szCs w:val="24"/>
          <w:highlight w:val="none"/>
        </w:rPr>
        <w:t xml:space="preserve"> 人：</w:t>
      </w:r>
      <w:r>
        <w:rPr>
          <w:rFonts w:hint="eastAsia" w:ascii="仿宋" w:hAnsi="仿宋" w:eastAsia="仿宋" w:cs="仿宋"/>
          <w:sz w:val="24"/>
          <w:szCs w:val="24"/>
          <w:highlight w:val="none"/>
          <w:lang w:val="en-US" w:eastAsia="zh-CN"/>
        </w:rPr>
        <w:t>中国银行股份有限公司泉州分行</w:t>
      </w:r>
    </w:p>
    <w:p w14:paraId="5219BD31">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 xml:space="preserve">地  </w:t>
      </w:r>
      <w:r>
        <w:rPr>
          <w:rFonts w:hint="eastAsia" w:ascii="仿宋" w:hAnsi="仿宋" w:eastAsia="仿宋" w:cs="仿宋"/>
          <w:sz w:val="24"/>
          <w:szCs w:val="24"/>
          <w:highlight w:val="none"/>
          <w:lang w:eastAsia="zh-CN"/>
        </w:rPr>
        <w:t xml:space="preserve">  址：</w:t>
      </w:r>
      <w:r>
        <w:rPr>
          <w:rFonts w:hint="eastAsia" w:ascii="仿宋" w:hAnsi="仿宋" w:eastAsia="仿宋" w:cs="仿宋"/>
          <w:sz w:val="24"/>
          <w:szCs w:val="24"/>
          <w:highlight w:val="none"/>
          <w:lang w:val="en-US" w:eastAsia="zh-CN"/>
        </w:rPr>
        <w:t>泉州市丰泽区丰泽街中段南侧中银大厦</w:t>
      </w:r>
    </w:p>
    <w:p w14:paraId="2AD0B0E9">
      <w:pPr>
        <w:spacing w:line="360" w:lineRule="auto"/>
        <w:ind w:firstLine="240" w:firstLineChars="100"/>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邮    编：362000</w:t>
      </w:r>
    </w:p>
    <w:p w14:paraId="03B16062">
      <w:pPr>
        <w:spacing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 系 人：【林经理】</w:t>
      </w:r>
    </w:p>
    <w:p w14:paraId="64EC8D91">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电    话：【0595 22152575</w:t>
      </w:r>
      <w:r>
        <w:rPr>
          <w:rFonts w:hint="eastAsia" w:ascii="仿宋" w:hAnsi="仿宋" w:eastAsia="仿宋" w:cs="仿宋"/>
          <w:sz w:val="24"/>
          <w:szCs w:val="24"/>
          <w:highlight w:val="none"/>
          <w:lang w:eastAsia="zh-CN"/>
        </w:rPr>
        <w:t>】</w:t>
      </w:r>
    </w:p>
    <w:p w14:paraId="0E366914">
      <w:pPr>
        <w:spacing w:line="360" w:lineRule="auto"/>
        <w:ind w:firstLine="720" w:firstLineChars="300"/>
        <w:rPr>
          <w:rFonts w:hint="eastAsia" w:ascii="仿宋" w:hAnsi="仿宋" w:eastAsia="仿宋" w:cs="仿宋"/>
          <w:sz w:val="24"/>
          <w:szCs w:val="24"/>
          <w:highlight w:val="none"/>
        </w:rPr>
      </w:pPr>
    </w:p>
    <w:p w14:paraId="7FAA1DCA">
      <w:pPr>
        <w:spacing w:line="360" w:lineRule="auto"/>
        <w:ind w:firstLine="240" w:firstLineChars="1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代理机构名称：</w:t>
      </w:r>
      <w:r>
        <w:rPr>
          <w:rFonts w:hint="eastAsia" w:ascii="仿宋" w:hAnsi="仿宋" w:eastAsia="仿宋" w:cs="仿宋"/>
          <w:sz w:val="24"/>
          <w:szCs w:val="24"/>
          <w:highlight w:val="none"/>
          <w:lang w:eastAsia="zh-CN"/>
        </w:rPr>
        <w:t>福建省中通通信有限公司</w:t>
      </w:r>
    </w:p>
    <w:p w14:paraId="21FA9963">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代理机构地址：福州市仓山区信平路10号</w:t>
      </w:r>
    </w:p>
    <w:p w14:paraId="09A540F8">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邮编：350007</w:t>
      </w:r>
    </w:p>
    <w:p w14:paraId="2E2F3E4E">
      <w:pPr>
        <w:spacing w:line="360" w:lineRule="auto"/>
        <w:ind w:firstLine="241" w:firstLineChars="100"/>
        <w:rPr>
          <w:rFonts w:hint="eastAsia" w:ascii="仿宋" w:hAnsi="仿宋" w:eastAsia="仿宋" w:cs="仿宋"/>
          <w:sz w:val="24"/>
          <w:szCs w:val="24"/>
          <w:highlight w:val="none"/>
        </w:rPr>
      </w:pPr>
      <w:r>
        <w:rPr>
          <w:rFonts w:hint="eastAsia" w:ascii="仿宋" w:hAnsi="仿宋" w:eastAsia="仿宋" w:cs="仿宋"/>
          <w:b/>
          <w:bCs/>
          <w:sz w:val="24"/>
          <w:szCs w:val="24"/>
          <w:highlight w:val="none"/>
        </w:rPr>
        <w:t>文件发售/接收/退保证金联系人：【</w:t>
      </w:r>
      <w:r>
        <w:rPr>
          <w:rFonts w:hint="eastAsia" w:ascii="仿宋" w:hAnsi="仿宋" w:eastAsia="仿宋" w:cs="仿宋"/>
          <w:b/>
          <w:bCs/>
          <w:sz w:val="24"/>
          <w:szCs w:val="24"/>
          <w:highlight w:val="none"/>
          <w:lang w:val="en-US" w:eastAsia="zh-CN"/>
        </w:rPr>
        <w:t>蒋恭楷</w:t>
      </w:r>
      <w:r>
        <w:rPr>
          <w:rFonts w:hint="eastAsia" w:ascii="仿宋" w:hAnsi="仿宋" w:eastAsia="仿宋" w:cs="仿宋"/>
          <w:b/>
          <w:bCs/>
          <w:sz w:val="24"/>
          <w:szCs w:val="24"/>
          <w:highlight w:val="none"/>
        </w:rPr>
        <w:t>】     电话：【</w:t>
      </w:r>
      <w:r>
        <w:rPr>
          <w:rFonts w:hint="eastAsia" w:ascii="仿宋" w:hAnsi="仿宋" w:eastAsia="仿宋" w:cs="仿宋"/>
          <w:b/>
          <w:bCs/>
          <w:sz w:val="24"/>
          <w:szCs w:val="24"/>
          <w:highlight w:val="none"/>
          <w:lang w:val="en-US" w:eastAsia="zh-CN"/>
        </w:rPr>
        <w:t>19905958001</w:t>
      </w:r>
      <w:r>
        <w:rPr>
          <w:rFonts w:hint="eastAsia" w:ascii="仿宋" w:hAnsi="仿宋" w:eastAsia="仿宋" w:cs="仿宋"/>
          <w:b/>
          <w:bCs/>
          <w:sz w:val="24"/>
          <w:szCs w:val="24"/>
          <w:highlight w:val="none"/>
        </w:rPr>
        <w:t>】</w:t>
      </w:r>
    </w:p>
    <w:p w14:paraId="0ED3123D">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文件或电子档（U盘）采取邮寄方式递交的，邮寄地址</w:t>
      </w:r>
      <w:r>
        <w:rPr>
          <w:rFonts w:hint="eastAsia" w:ascii="仿宋" w:hAnsi="仿宋" w:eastAsia="仿宋" w:cs="仿宋"/>
          <w:sz w:val="24"/>
          <w:szCs w:val="24"/>
          <w:highlight w:val="none"/>
          <w:lang w:val="en-US" w:eastAsia="zh-CN"/>
        </w:rPr>
        <w:t>为</w:t>
      </w:r>
      <w:r>
        <w:rPr>
          <w:rFonts w:hint="eastAsia" w:ascii="仿宋" w:hAnsi="仿宋" w:eastAsia="仿宋" w:cs="仿宋"/>
          <w:sz w:val="24"/>
          <w:szCs w:val="24"/>
          <w:highlight w:val="none"/>
        </w:rPr>
        <w:t>【见</w:t>
      </w:r>
      <w:r>
        <w:rPr>
          <w:rFonts w:hint="eastAsia" w:ascii="仿宋" w:hAnsi="仿宋" w:eastAsia="仿宋" w:cs="仿宋"/>
          <w:sz w:val="24"/>
          <w:szCs w:val="24"/>
          <w:highlight w:val="none"/>
          <w:lang w:val="en-US" w:eastAsia="zh-CN"/>
        </w:rPr>
        <w:t>应答</w:t>
      </w:r>
      <w:r>
        <w:rPr>
          <w:rFonts w:hint="eastAsia" w:ascii="仿宋" w:hAnsi="仿宋" w:eastAsia="仿宋" w:cs="仿宋"/>
          <w:sz w:val="24"/>
          <w:szCs w:val="24"/>
          <w:highlight w:val="none"/>
        </w:rPr>
        <w:t>文件递交截止地点】</w:t>
      </w:r>
    </w:p>
    <w:p w14:paraId="23CDFF93">
      <w:pPr>
        <w:spacing w:line="360" w:lineRule="auto"/>
        <w:ind w:firstLine="720" w:firstLineChars="300"/>
        <w:rPr>
          <w:rFonts w:hint="eastAsia" w:ascii="仿宋" w:hAnsi="仿宋" w:eastAsia="仿宋" w:cs="仿宋"/>
          <w:sz w:val="24"/>
          <w:szCs w:val="24"/>
          <w:highlight w:val="none"/>
        </w:rPr>
      </w:pPr>
    </w:p>
    <w:p w14:paraId="528F18D1">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r>
        <w:rPr>
          <w:rFonts w:hint="eastAsia" w:ascii="仿宋" w:hAnsi="仿宋" w:eastAsia="仿宋" w:cs="仿宋"/>
          <w:sz w:val="24"/>
          <w:szCs w:val="24"/>
          <w:highlight w:val="none"/>
          <w:lang w:val="en-US" w:eastAsia="zh-CN"/>
        </w:rPr>
        <w:t>蒋恭楷</w:t>
      </w:r>
      <w:r>
        <w:rPr>
          <w:rFonts w:hint="eastAsia" w:ascii="仿宋" w:hAnsi="仿宋" w:eastAsia="仿宋" w:cs="仿宋"/>
          <w:sz w:val="24"/>
          <w:szCs w:val="24"/>
          <w:highlight w:val="none"/>
        </w:rPr>
        <w:t>】       电话：【</w:t>
      </w:r>
      <w:r>
        <w:rPr>
          <w:rFonts w:hint="eastAsia" w:ascii="仿宋" w:hAnsi="仿宋" w:eastAsia="仿宋" w:cs="仿宋"/>
          <w:sz w:val="24"/>
          <w:szCs w:val="24"/>
          <w:highlight w:val="none"/>
          <w:lang w:val="en-US" w:eastAsia="zh-CN"/>
        </w:rPr>
        <w:t>19905958001</w:t>
      </w:r>
      <w:r>
        <w:rPr>
          <w:rFonts w:hint="eastAsia" w:ascii="仿宋" w:hAnsi="仿宋" w:eastAsia="仿宋" w:cs="仿宋"/>
          <w:sz w:val="24"/>
          <w:szCs w:val="24"/>
          <w:highlight w:val="none"/>
        </w:rPr>
        <w:t>】</w:t>
      </w:r>
    </w:p>
    <w:p w14:paraId="60E76758">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电子邮箱（异议接收邮箱）：【jianggongkai@chinaccs.cn】</w:t>
      </w:r>
    </w:p>
    <w:p w14:paraId="32B6116B">
      <w:pPr>
        <w:spacing w:line="360" w:lineRule="auto"/>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代理机构：【</w:t>
      </w:r>
      <w:r>
        <w:rPr>
          <w:rFonts w:hint="eastAsia" w:ascii="仿宋" w:hAnsi="仿宋" w:eastAsia="仿宋" w:cs="仿宋"/>
          <w:sz w:val="24"/>
          <w:szCs w:val="24"/>
          <w:highlight w:val="none"/>
          <w:lang w:eastAsia="zh-CN"/>
        </w:rPr>
        <w:t>福建省中通通信有限公司</w:t>
      </w:r>
      <w:r>
        <w:rPr>
          <w:rFonts w:hint="eastAsia" w:ascii="仿宋" w:hAnsi="仿宋" w:eastAsia="仿宋" w:cs="仿宋"/>
          <w:sz w:val="24"/>
          <w:szCs w:val="24"/>
          <w:highlight w:val="none"/>
        </w:rPr>
        <w:t>】</w:t>
      </w:r>
    </w:p>
    <w:p w14:paraId="18519D68">
      <w:pPr>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2025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30日</w:t>
      </w:r>
      <w:r>
        <w:rPr>
          <w:rFonts w:hint="eastAsia" w:ascii="仿宋" w:hAnsi="仿宋" w:eastAsia="仿宋" w:cs="仿宋"/>
          <w:sz w:val="24"/>
          <w:szCs w:val="24"/>
          <w:highlight w:val="none"/>
        </w:rPr>
        <w:t>】</w:t>
      </w:r>
    </w:p>
    <w:p w14:paraId="695C6638">
      <w:pPr>
        <w:spacing w:line="360" w:lineRule="auto"/>
        <w:ind w:firstLine="720" w:firstLineChars="300"/>
        <w:rPr>
          <w:rFonts w:hint="eastAsia" w:ascii="仿宋" w:hAnsi="仿宋" w:eastAsia="仿宋" w:cs="仿宋"/>
          <w:sz w:val="24"/>
          <w:szCs w:val="24"/>
          <w:highlight w:val="none"/>
        </w:rPr>
      </w:pPr>
    </w:p>
    <w:p w14:paraId="11DBAE20">
      <w:pPr>
        <w:keepNext w:val="0"/>
        <w:keepLines w:val="0"/>
        <w:widowControl/>
        <w:suppressLineNumbers w:val="0"/>
        <w:spacing w:before="75" w:beforeAutospacing="0" w:after="75" w:afterAutospacing="0"/>
        <w:ind w:left="0" w:right="0" w:firstLine="0"/>
        <w:jc w:val="left"/>
        <w:rPr>
          <w:rFonts w:ascii="宋体" w:hAnsi="宋体" w:eastAsia="宋体" w:cs="宋体"/>
          <w:i w:val="0"/>
          <w:iCs w:val="0"/>
          <w:caps w:val="0"/>
          <w:color w:val="000000"/>
          <w:spacing w:val="0"/>
          <w:kern w:val="0"/>
          <w:sz w:val="24"/>
          <w:szCs w:val="24"/>
          <w:highlight w:val="none"/>
          <w:lang w:val="en-US" w:eastAsia="zh-CN" w:bidi="ar-SA"/>
        </w:rPr>
      </w:pPr>
    </w:p>
    <w:p w14:paraId="5F905145">
      <w:pPr>
        <w:keepNext w:val="0"/>
        <w:keepLines w:val="0"/>
        <w:widowControl/>
        <w:suppressLineNumbers w:val="0"/>
        <w:spacing w:before="75" w:beforeAutospacing="0" w:after="75" w:afterAutospacing="0"/>
        <w:ind w:left="0" w:right="0" w:firstLine="0"/>
        <w:jc w:val="left"/>
        <w:rPr>
          <w:rFonts w:ascii="微软雅黑" w:hAnsi="微软雅黑" w:eastAsia="微软雅黑" w:cs="微软雅黑"/>
          <w:i w:val="0"/>
          <w:iCs w:val="0"/>
          <w:caps w:val="0"/>
          <w:color w:val="000000"/>
          <w:spacing w:val="0"/>
          <w:kern w:val="0"/>
          <w:sz w:val="27"/>
          <w:szCs w:val="27"/>
          <w:highlight w:val="none"/>
          <w:lang w:val="en-US" w:eastAsia="zh-CN" w:bidi="ar-SA"/>
        </w:rPr>
      </w:pPr>
      <w:r>
        <w:rPr>
          <w:rFonts w:ascii="宋体" w:hAnsi="宋体" w:eastAsia="宋体" w:cs="宋体"/>
          <w:i w:val="0"/>
          <w:iCs w:val="0"/>
          <w:caps w:val="0"/>
          <w:color w:val="000000"/>
          <w:spacing w:val="0"/>
          <w:kern w:val="0"/>
          <w:sz w:val="24"/>
          <w:szCs w:val="24"/>
          <w:highlight w:val="none"/>
          <w:lang w:val="en-US" w:eastAsia="zh-CN" w:bidi="ar-SA"/>
        </w:rPr>
        <w:t>附</w:t>
      </w:r>
      <w:r>
        <w:rPr>
          <w:rFonts w:hint="eastAsia" w:ascii="宋体" w:hAnsi="宋体" w:eastAsia="宋体" w:cs="宋体"/>
          <w:i w:val="0"/>
          <w:iCs w:val="0"/>
          <w:caps w:val="0"/>
          <w:color w:val="000000"/>
          <w:spacing w:val="0"/>
          <w:kern w:val="0"/>
          <w:sz w:val="24"/>
          <w:szCs w:val="24"/>
          <w:highlight w:val="none"/>
          <w:lang w:val="en-US" w:eastAsia="zh-CN" w:bidi="ar-SA"/>
        </w:rPr>
        <w:t>1：账户信息</w:t>
      </w:r>
    </w:p>
    <w:tbl>
      <w:tblPr>
        <w:tblStyle w:val="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591"/>
      </w:tblGrid>
      <w:tr w14:paraId="4200E2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364" w:hRule="atLeast"/>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14:paraId="4DD82137">
            <w:pPr>
              <w:keepNext w:val="0"/>
              <w:keepLines w:val="0"/>
              <w:widowControl/>
              <w:suppressLineNumbers w:val="0"/>
              <w:spacing w:before="0" w:beforeAutospacing="0" w:after="0" w:afterAutospacing="0"/>
              <w:ind w:left="0" w:right="0"/>
              <w:jc w:val="center"/>
              <w:rPr>
                <w:rFonts w:ascii="Calibri" w:hAnsi="Calibri" w:eastAsia="宋体" w:cs="Times New Roman"/>
                <w:kern w:val="0"/>
                <w:sz w:val="21"/>
                <w:szCs w:val="21"/>
                <w:highlight w:val="none"/>
                <w:lang w:val="en-US" w:eastAsia="zh-CN" w:bidi="ar-SA"/>
              </w:rPr>
            </w:pPr>
            <w:r>
              <w:rPr>
                <w:rFonts w:hint="eastAsia" w:ascii="宋体" w:hAnsi="宋体" w:eastAsia="宋体" w:cs="宋体"/>
                <w:b/>
                <w:bCs/>
                <w:i w:val="0"/>
                <w:iCs w:val="0"/>
                <w:caps w:val="0"/>
                <w:color w:val="000000"/>
                <w:spacing w:val="0"/>
                <w:kern w:val="2"/>
                <w:sz w:val="24"/>
                <w:szCs w:val="24"/>
                <w:highlight w:val="none"/>
                <w:lang w:val="en-US" w:eastAsia="zh-CN" w:bidi="ar-SA"/>
              </w:rPr>
              <w:t>应答保证金账户</w:t>
            </w:r>
          </w:p>
        </w:tc>
      </w:tr>
      <w:tr w14:paraId="3DFC8D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90" w:hRule="atLeast"/>
          <w:tblCellSpacing w:w="15" w:type="dxa"/>
        </w:trPr>
        <w:tc>
          <w:tcPr>
            <w:tcW w:w="8531" w:type="dxa"/>
            <w:tcBorders>
              <w:top w:val="nil"/>
              <w:left w:val="nil"/>
              <w:bottom w:val="nil"/>
              <w:right w:val="nil"/>
            </w:tcBorders>
            <w:shd w:val="clear" w:color="auto" w:fill="auto"/>
            <w:tcMar>
              <w:top w:w="0" w:type="dxa"/>
              <w:left w:w="105" w:type="dxa"/>
              <w:bottom w:w="0" w:type="dxa"/>
              <w:right w:w="105" w:type="dxa"/>
            </w:tcMar>
            <w:vAlign w:val="top"/>
          </w:tcPr>
          <w:p w14:paraId="44F1A8CF">
            <w:pPr>
              <w:keepNext w:val="0"/>
              <w:keepLines w:val="0"/>
              <w:widowControl/>
              <w:suppressLineNumbers w:val="0"/>
              <w:spacing w:before="0" w:beforeAutospacing="0" w:after="0" w:afterAutospacing="0"/>
              <w:ind w:left="0" w:leftChars="0" w:right="0" w:rightChars="0"/>
              <w:rPr>
                <w:rFonts w:hint="eastAsia" w:ascii="Calibri" w:hAnsi="Calibri" w:eastAsia="宋体"/>
                <w:szCs w:val="21"/>
                <w:highlight w:val="none"/>
                <w:lang w:eastAsia="zh-CN"/>
              </w:rPr>
            </w:pPr>
            <w:r>
              <w:rPr>
                <w:rFonts w:hint="eastAsia" w:ascii="Calibri" w:hAnsi="Calibri" w:eastAsia="宋体"/>
                <w:szCs w:val="21"/>
              </w:rPr>
              <w:t>户名：福建省中通通信有限公司</w:t>
            </w:r>
          </w:p>
        </w:tc>
      </w:tr>
      <w:tr w14:paraId="7B7419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31" w:type="dxa"/>
            <w:tcBorders>
              <w:top w:val="nil"/>
              <w:left w:val="nil"/>
              <w:bottom w:val="nil"/>
              <w:right w:val="nil"/>
            </w:tcBorders>
            <w:shd w:val="clear" w:color="auto" w:fill="auto"/>
            <w:tcMar>
              <w:top w:w="0" w:type="dxa"/>
              <w:left w:w="105" w:type="dxa"/>
              <w:bottom w:w="0" w:type="dxa"/>
              <w:right w:w="105" w:type="dxa"/>
            </w:tcMar>
            <w:vAlign w:val="top"/>
          </w:tcPr>
          <w:p w14:paraId="733A7D47">
            <w:pPr>
              <w:keepNext w:val="0"/>
              <w:keepLines w:val="0"/>
              <w:widowControl/>
              <w:suppressLineNumbers w:val="0"/>
              <w:spacing w:before="0" w:beforeAutospacing="0" w:after="0" w:afterAutospacing="0"/>
              <w:ind w:left="0" w:leftChars="0" w:right="0" w:rightChars="0"/>
              <w:jc w:val="left"/>
              <w:rPr>
                <w:rFonts w:hint="default"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lang w:val="en-US" w:eastAsia="zh-CN" w:bidi="ar-SA"/>
              </w:rPr>
              <w:t>账号：413085084436</w:t>
            </w:r>
          </w:p>
        </w:tc>
      </w:tr>
      <w:tr w14:paraId="375111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31" w:type="dxa"/>
            <w:tcBorders>
              <w:top w:val="nil"/>
              <w:left w:val="nil"/>
              <w:bottom w:val="nil"/>
              <w:right w:val="nil"/>
            </w:tcBorders>
            <w:shd w:val="clear" w:color="auto" w:fill="auto"/>
            <w:tcMar>
              <w:top w:w="0" w:type="dxa"/>
              <w:left w:w="105" w:type="dxa"/>
              <w:bottom w:w="0" w:type="dxa"/>
              <w:right w:w="105" w:type="dxa"/>
            </w:tcMar>
            <w:vAlign w:val="top"/>
          </w:tcPr>
          <w:p w14:paraId="173D36FE">
            <w:pPr>
              <w:keepNext w:val="0"/>
              <w:keepLines w:val="0"/>
              <w:widowControl/>
              <w:suppressLineNumbers w:val="0"/>
              <w:spacing w:before="0" w:beforeAutospacing="0" w:after="0" w:afterAutospacing="0"/>
              <w:ind w:left="0" w:leftChars="0" w:right="0" w:rightChars="0"/>
              <w:jc w:val="left"/>
              <w:rPr>
                <w:rFonts w:hint="default" w:ascii="Calibri" w:hAnsi="Calibri" w:eastAsia="宋体" w:cs="Times New Roman"/>
                <w:kern w:val="0"/>
                <w:sz w:val="21"/>
                <w:szCs w:val="21"/>
                <w:highlight w:val="none"/>
                <w:lang w:val="en-US" w:eastAsia="zh-CN" w:bidi="ar-SA"/>
              </w:rPr>
            </w:pPr>
            <w:r>
              <w:rPr>
                <w:rFonts w:hint="eastAsia" w:ascii="宋体" w:hAnsi="宋体" w:eastAsia="宋体" w:cs="宋体"/>
                <w:i w:val="0"/>
                <w:iCs w:val="0"/>
                <w:caps w:val="0"/>
                <w:color w:val="000000"/>
                <w:spacing w:val="0"/>
                <w:kern w:val="0"/>
                <w:sz w:val="24"/>
                <w:szCs w:val="24"/>
                <w:lang w:val="en-US" w:eastAsia="zh-CN" w:bidi="ar-SA"/>
              </w:rPr>
              <w:t>开户银行：</w:t>
            </w:r>
            <w:r>
              <w:rPr>
                <w:rFonts w:hint="eastAsia" w:ascii="宋体" w:hAnsi="宋体" w:eastAsia="宋体" w:cs="宋体"/>
                <w:b w:val="0"/>
                <w:bCs w:val="0"/>
                <w:color w:val="000000"/>
                <w:kern w:val="0"/>
                <w:sz w:val="21"/>
                <w:szCs w:val="21"/>
                <w:highlight w:val="none"/>
                <w:lang w:val="en-US" w:eastAsia="zh-CN" w:bidi="ar-SA"/>
              </w:rPr>
              <w:t>中国银行福州金融街支行</w:t>
            </w:r>
          </w:p>
        </w:tc>
      </w:tr>
      <w:tr w14:paraId="260936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14:paraId="51C9D73A">
            <w:pPr>
              <w:keepNext w:val="0"/>
              <w:keepLines w:val="0"/>
              <w:widowControl/>
              <w:suppressLineNumbers w:val="0"/>
              <w:spacing w:before="0" w:beforeAutospacing="0" w:after="0" w:afterAutospacing="0"/>
              <w:ind w:left="0" w:right="0"/>
              <w:jc w:val="center"/>
              <w:rPr>
                <w:rFonts w:ascii="Calibri" w:hAnsi="Calibri" w:eastAsia="宋体" w:cs="Times New Roman"/>
                <w:kern w:val="0"/>
                <w:sz w:val="21"/>
                <w:szCs w:val="21"/>
                <w:highlight w:val="none"/>
                <w:lang w:val="en-US" w:eastAsia="zh-CN" w:bidi="ar-SA"/>
              </w:rPr>
            </w:pPr>
            <w:r>
              <w:rPr>
                <w:rFonts w:hint="eastAsia" w:ascii="宋体" w:hAnsi="宋体" w:eastAsia="宋体" w:cs="宋体"/>
                <w:b/>
                <w:bCs/>
                <w:i w:val="0"/>
                <w:iCs w:val="0"/>
                <w:caps w:val="0"/>
                <w:color w:val="000000"/>
                <w:spacing w:val="0"/>
                <w:kern w:val="2"/>
                <w:sz w:val="24"/>
                <w:szCs w:val="24"/>
                <w:highlight w:val="none"/>
                <w:lang w:val="en-US" w:eastAsia="zh-CN" w:bidi="ar-SA"/>
              </w:rPr>
              <w:t>特别提示</w:t>
            </w:r>
          </w:p>
        </w:tc>
      </w:tr>
      <w:tr w14:paraId="2324F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top"/>
          </w:tcPr>
          <w:p w14:paraId="6FBC239F">
            <w:pPr>
              <w:keepNext w:val="0"/>
              <w:keepLines w:val="0"/>
              <w:widowControl/>
              <w:suppressLineNumbers w:val="0"/>
              <w:spacing w:before="0" w:beforeAutospacing="0" w:after="0" w:afterAutospacing="0"/>
              <w:ind w:left="0" w:right="0"/>
              <w:jc w:val="left"/>
              <w:rPr>
                <w:rFonts w:ascii="Calibri" w:hAnsi="Calibri" w:eastAsia="宋体" w:cs="Times New Roman"/>
                <w:kern w:val="0"/>
                <w:sz w:val="21"/>
                <w:szCs w:val="21"/>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1、应答人应认真核对账户信息，将应答保证金汇入以上账户，并自行承担因汇错应答保证金而产生的一切后果。</w:t>
            </w:r>
          </w:p>
          <w:p w14:paraId="51692481">
            <w:pPr>
              <w:keepNext w:val="0"/>
              <w:keepLines w:val="0"/>
              <w:widowControl/>
              <w:suppressLineNumbers w:val="0"/>
              <w:spacing w:before="0" w:beforeAutospacing="0" w:after="0" w:afterAutospacing="0"/>
              <w:ind w:left="0" w:right="0"/>
              <w:jc w:val="left"/>
              <w:rPr>
                <w:rFonts w:ascii="Calibri" w:hAnsi="Calibri" w:eastAsia="宋体" w:cs="Times New Roman"/>
                <w:kern w:val="0"/>
                <w:sz w:val="21"/>
                <w:szCs w:val="21"/>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2、应答人在转账或电汇的凭证上应按照以下格式注明，以便核对：“（项目编号：</w:t>
            </w:r>
            <w:r>
              <w:rPr>
                <w:rFonts w:hint="default" w:ascii="宋体" w:hAnsi="宋体" w:eastAsia="宋体" w:cs="宋体"/>
                <w:i w:val="0"/>
                <w:iCs w:val="0"/>
                <w:caps w:val="0"/>
                <w:color w:val="000000"/>
                <w:spacing w:val="0"/>
                <w:kern w:val="0"/>
                <w:sz w:val="24"/>
                <w:szCs w:val="24"/>
                <w:highlight w:val="none"/>
                <w:lang w:val="en-US" w:eastAsia="zh-CN" w:bidi="ar-SA"/>
              </w:rPr>
              <w:t>***</w:t>
            </w:r>
            <w:r>
              <w:rPr>
                <w:rFonts w:hint="eastAsia" w:ascii="宋体" w:hAnsi="宋体" w:eastAsia="宋体" w:cs="宋体"/>
                <w:i w:val="0"/>
                <w:iCs w:val="0"/>
                <w:caps w:val="0"/>
                <w:color w:val="000000"/>
                <w:spacing w:val="0"/>
                <w:kern w:val="0"/>
                <w:sz w:val="24"/>
                <w:szCs w:val="24"/>
                <w:highlight w:val="none"/>
                <w:lang w:val="en-US" w:eastAsia="zh-CN" w:bidi="ar-SA"/>
              </w:rPr>
              <w:t>、）的应答保证金”。</w:t>
            </w:r>
          </w:p>
        </w:tc>
      </w:tr>
    </w:tbl>
    <w:p w14:paraId="7C2DB27B">
      <w:bookmarkStart w:id="153" w:name="_GoBack"/>
      <w:bookmarkEnd w:id="15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2F19D"/>
    <w:multiLevelType w:val="singleLevel"/>
    <w:tmpl w:val="0452F19D"/>
    <w:lvl w:ilvl="0" w:tentative="0">
      <w:start w:val="7"/>
      <w:numFmt w:val="chineseCounting"/>
      <w:suff w:val="nothing"/>
      <w:lvlText w:val="%1、"/>
      <w:lvlJc w:val="left"/>
      <w:rPr>
        <w:rFonts w:hint="eastAsia"/>
      </w:rPr>
    </w:lvl>
  </w:abstractNum>
  <w:abstractNum w:abstractNumId="1">
    <w:nsid w:val="35C200DD"/>
    <w:multiLevelType w:val="multilevel"/>
    <w:tmpl w:val="35C200DD"/>
    <w:lvl w:ilvl="0" w:tentative="0">
      <w:start w:val="1"/>
      <w:numFmt w:val="decimal"/>
      <w:pStyle w:val="19"/>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ZhODc1ODMyYTAwNTE1Yzk0Njg4OTYzZWI5NWQifQ=="/>
  </w:docVars>
  <w:rsids>
    <w:rsidRoot w:val="00897A9B"/>
    <w:rsid w:val="00301611"/>
    <w:rsid w:val="00897A9B"/>
    <w:rsid w:val="008E2A18"/>
    <w:rsid w:val="00B51ADF"/>
    <w:rsid w:val="01FC65B5"/>
    <w:rsid w:val="03914CEF"/>
    <w:rsid w:val="07AB0349"/>
    <w:rsid w:val="0C8278CB"/>
    <w:rsid w:val="0ED62EEB"/>
    <w:rsid w:val="13F27F59"/>
    <w:rsid w:val="16394D7C"/>
    <w:rsid w:val="1685472A"/>
    <w:rsid w:val="1A766291"/>
    <w:rsid w:val="26E95F63"/>
    <w:rsid w:val="2AC31382"/>
    <w:rsid w:val="39563F92"/>
    <w:rsid w:val="3DF15DAF"/>
    <w:rsid w:val="3EB968CD"/>
    <w:rsid w:val="40093ABE"/>
    <w:rsid w:val="406E1939"/>
    <w:rsid w:val="42E24862"/>
    <w:rsid w:val="4416031D"/>
    <w:rsid w:val="4B3C4CB1"/>
    <w:rsid w:val="5221680B"/>
    <w:rsid w:val="526606C2"/>
    <w:rsid w:val="53283BC9"/>
    <w:rsid w:val="562E13A7"/>
    <w:rsid w:val="58F20F01"/>
    <w:rsid w:val="5B1909C7"/>
    <w:rsid w:val="5E7F21F0"/>
    <w:rsid w:val="6DB85E1E"/>
    <w:rsid w:val="6E7E7408"/>
    <w:rsid w:val="760836BA"/>
    <w:rsid w:val="7A8B6668"/>
    <w:rsid w:val="7C1D3C7C"/>
    <w:rsid w:val="7F052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jc w:val="center"/>
      <w:outlineLvl w:val="0"/>
    </w:pPr>
    <w:rPr>
      <w:b/>
      <w:bCs/>
      <w:kern w:val="44"/>
      <w:sz w:val="28"/>
      <w:szCs w:val="44"/>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7"/>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4">
    <w:name w:val="footer"/>
    <w:basedOn w:val="1"/>
    <w:link w:val="13"/>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2"/>
    <w:basedOn w:val="1"/>
    <w:autoRedefine/>
    <w:qFormat/>
    <w:uiPriority w:val="0"/>
    <w:pPr>
      <w:spacing w:after="120" w:line="480" w:lineRule="auto"/>
    </w:pPr>
  </w:style>
  <w:style w:type="paragraph" w:styleId="7">
    <w:name w:val="Normal (Web)"/>
    <w:basedOn w:val="1"/>
    <w:autoRedefine/>
    <w:semiHidden/>
    <w:unhideWhenUsed/>
    <w:qFormat/>
    <w:uiPriority w:val="99"/>
    <w:rPr>
      <w:sz w:val="24"/>
    </w:rPr>
  </w:style>
  <w:style w:type="character" w:styleId="10">
    <w:name w:val="Strong"/>
    <w:basedOn w:val="9"/>
    <w:autoRedefine/>
    <w:qFormat/>
    <w:uiPriority w:val="22"/>
    <w:rPr>
      <w:b/>
    </w:rPr>
  </w:style>
  <w:style w:type="character" w:styleId="11">
    <w:name w:val="Hyperlink"/>
    <w:autoRedefine/>
    <w:qFormat/>
    <w:uiPriority w:val="99"/>
    <w:rPr>
      <w:color w:val="0000FF"/>
      <w:u w:val="single"/>
    </w:rPr>
  </w:style>
  <w:style w:type="character" w:customStyle="1" w:styleId="12">
    <w:name w:val="页眉 Char"/>
    <w:basedOn w:val="9"/>
    <w:link w:val="5"/>
    <w:autoRedefine/>
    <w:qFormat/>
    <w:uiPriority w:val="99"/>
    <w:rPr>
      <w:sz w:val="18"/>
      <w:szCs w:val="18"/>
    </w:rPr>
  </w:style>
  <w:style w:type="character" w:customStyle="1" w:styleId="13">
    <w:name w:val="页脚 Char"/>
    <w:basedOn w:val="9"/>
    <w:link w:val="4"/>
    <w:autoRedefine/>
    <w:qFormat/>
    <w:uiPriority w:val="99"/>
    <w:rPr>
      <w:sz w:val="18"/>
      <w:szCs w:val="18"/>
    </w:rPr>
  </w:style>
  <w:style w:type="paragraph" w:customStyle="1" w:styleId="14">
    <w:name w:val="列出段落1"/>
    <w:basedOn w:val="1"/>
    <w:autoRedefine/>
    <w:unhideWhenUsed/>
    <w:qFormat/>
    <w:uiPriority w:val="34"/>
    <w:pPr>
      <w:ind w:firstLine="420" w:firstLineChars="200"/>
    </w:pPr>
  </w:style>
  <w:style w:type="character" w:customStyle="1" w:styleId="15">
    <w:name w:val="列出段落 Char"/>
    <w:basedOn w:val="9"/>
    <w:link w:val="16"/>
    <w:autoRedefine/>
    <w:qFormat/>
    <w:uiPriority w:val="34"/>
  </w:style>
  <w:style w:type="paragraph" w:styleId="16">
    <w:name w:val="List Paragraph"/>
    <w:basedOn w:val="1"/>
    <w:link w:val="15"/>
    <w:autoRedefine/>
    <w:unhideWhenUsed/>
    <w:qFormat/>
    <w:uiPriority w:val="34"/>
    <w:pPr>
      <w:ind w:firstLine="420" w:firstLineChars="200"/>
    </w:pPr>
  </w:style>
  <w:style w:type="character" w:customStyle="1" w:styleId="17">
    <w:name w:val="正文缩进 Char"/>
    <w:link w:val="2"/>
    <w:autoRedefine/>
    <w:qFormat/>
    <w:uiPriority w:val="99"/>
    <w:rPr>
      <w:rFonts w:ascii="楷体_GB2312" w:hAnsi="Times New Roman" w:eastAsia="楷体_GB2312" w:cs="Times New Roman"/>
      <w:kern w:val="0"/>
      <w:sz w:val="28"/>
      <w:szCs w:val="20"/>
    </w:rPr>
  </w:style>
  <w:style w:type="character" w:customStyle="1" w:styleId="18">
    <w:name w:val="样式1标题2 字符"/>
    <w:basedOn w:val="15"/>
    <w:link w:val="19"/>
    <w:autoRedefine/>
    <w:qFormat/>
    <w:uiPriority w:val="0"/>
    <w:rPr>
      <w:rFonts w:asciiTheme="minorEastAsia" w:hAnsiTheme="minorEastAsia" w:eastAsiaTheme="minorEastAsia"/>
      <w:b/>
      <w:szCs w:val="21"/>
    </w:rPr>
  </w:style>
  <w:style w:type="paragraph" w:customStyle="1" w:styleId="19">
    <w:name w:val="样式1标题2"/>
    <w:basedOn w:val="16"/>
    <w:link w:val="18"/>
    <w:autoRedefine/>
    <w:qFormat/>
    <w:uiPriority w:val="0"/>
    <w:pPr>
      <w:numPr>
        <w:ilvl w:val="0"/>
        <w:numId w:val="1"/>
      </w:numPr>
      <w:adjustRightInd w:val="0"/>
      <w:snapToGrid w:val="0"/>
      <w:spacing w:line="440" w:lineRule="exact"/>
      <w:ind w:firstLine="0" w:firstLineChars="0"/>
    </w:pPr>
    <w:rPr>
      <w:rFonts w:asciiTheme="minorEastAsia" w:hAnsiTheme="minorEastAsia" w:eastAsiaTheme="minorEastAsia"/>
      <w:b/>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3370</Words>
  <Characters>3713</Characters>
  <Lines>16</Lines>
  <Paragraphs>4</Paragraphs>
  <TotalTime>0</TotalTime>
  <ScaleCrop>false</ScaleCrop>
  <LinksUpToDate>false</LinksUpToDate>
  <CharactersWithSpaces>3801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2023-11-02T08:55:00Z</dcterms:created>
  <dc:creator>Windows 用户</dc:creator>
  <cp:lastModifiedBy>K</cp:lastModifiedBy>
  <dcterms:modified xsi:type="dcterms:W3CDTF">2025-06-30T09:08:19Z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9FBECCE98CB943FD8A1CBF702D1030E1_12</vt:lpwstr>
  </property>
  <property fmtid="{D5CDD505-2E9C-101B-9397-08002B2CF9AE}" pid="4" name="KSOTemplateDocerSaveRecord">
    <vt:lpwstr>eyJoZGlkIjoiZmQwMTQxZGExNDAxNGFmMGVkZWJkOWZhMjc5OGI1MzciLCJ1c2VySWQiOiIxNTEwNTczNjUxIn0=</vt:lpwstr>
  </property>
</Properties>
</file>